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DD64D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7752D3">
        <w:rPr>
          <w:rFonts w:ascii="Times New Roman" w:eastAsia="Times New Roman" w:hAnsi="Times New Roman" w:cs="Times New Roman"/>
          <w:sz w:val="20"/>
          <w:szCs w:val="20"/>
          <w:lang w:eastAsia="ru-RU"/>
        </w:rPr>
        <w:t>______</w:t>
      </w:r>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w:t>
      </w:r>
      <w:r w:rsidR="009A4F99">
        <w:rPr>
          <w:rFonts w:ascii="Times New Roman" w:eastAsia="Times New Roman" w:hAnsi="Times New Roman" w:cs="Times New Roman"/>
          <w:sz w:val="20"/>
          <w:szCs w:val="20"/>
          <w:lang w:eastAsia="ru-RU"/>
        </w:rPr>
        <w:t>1</w:t>
      </w:r>
      <w:r w:rsidR="007752D3">
        <w:rPr>
          <w:rFonts w:ascii="Times New Roman" w:eastAsia="Times New Roman" w:hAnsi="Times New Roman" w:cs="Times New Roman"/>
          <w:sz w:val="20"/>
          <w:szCs w:val="20"/>
          <w:lang w:eastAsia="ru-RU"/>
        </w:rPr>
        <w:t>______</w:t>
      </w: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8"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A14429" w:rsidP="009C008D">
      <w:pPr>
        <w:pStyle w:val="11"/>
        <w:jc w:val="both"/>
        <w:rPr>
          <w:rFonts w:ascii="Times New Roman" w:hAnsi="Times New Roman" w:cs="Times New Roman"/>
          <w:noProof/>
          <w:sz w:val="28"/>
          <w:szCs w:val="28"/>
          <w:lang w:eastAsia="ru-RU"/>
        </w:rPr>
      </w:pPr>
      <w:hyperlink r:id="rId9"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A14429" w:rsidP="009C008D">
      <w:pPr>
        <w:pStyle w:val="21"/>
        <w:rPr>
          <w:rFonts w:ascii="Times New Roman" w:hAnsi="Times New Roman" w:cs="Times New Roman"/>
          <w:noProof/>
          <w:sz w:val="28"/>
          <w:szCs w:val="28"/>
          <w:lang w:eastAsia="ru-RU"/>
        </w:rPr>
      </w:pPr>
      <w:hyperlink r:id="rId10"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A14429" w:rsidP="009C008D">
      <w:pPr>
        <w:pStyle w:val="21"/>
        <w:rPr>
          <w:rFonts w:ascii="Times New Roman" w:hAnsi="Times New Roman" w:cs="Times New Roman"/>
          <w:noProof/>
          <w:sz w:val="28"/>
          <w:szCs w:val="28"/>
          <w:lang w:eastAsia="ru-RU"/>
        </w:rPr>
      </w:pPr>
      <w:hyperlink r:id="rId11"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A14429" w:rsidP="009C008D">
      <w:pPr>
        <w:pStyle w:val="21"/>
        <w:rPr>
          <w:rFonts w:ascii="Times New Roman" w:hAnsi="Times New Roman" w:cs="Times New Roman"/>
          <w:noProof/>
          <w:sz w:val="24"/>
          <w:szCs w:val="24"/>
          <w:lang w:eastAsia="ru-RU"/>
        </w:rPr>
      </w:pPr>
      <w:hyperlink r:id="rId12"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A14429" w:rsidP="009C008D">
      <w:pPr>
        <w:pStyle w:val="21"/>
        <w:rPr>
          <w:rFonts w:ascii="Times New Roman" w:hAnsi="Times New Roman" w:cs="Times New Roman"/>
          <w:noProof/>
          <w:sz w:val="28"/>
          <w:szCs w:val="28"/>
          <w:lang w:eastAsia="ru-RU"/>
        </w:rPr>
      </w:pPr>
      <w:hyperlink r:id="rId13"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A14429" w:rsidP="009C008D">
      <w:pPr>
        <w:pStyle w:val="21"/>
        <w:rPr>
          <w:rFonts w:ascii="Times New Roman" w:hAnsi="Times New Roman" w:cs="Times New Roman"/>
          <w:noProof/>
          <w:sz w:val="28"/>
          <w:szCs w:val="28"/>
          <w:lang w:eastAsia="ru-RU"/>
        </w:rPr>
      </w:pPr>
      <w:hyperlink r:id="rId14"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1"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2"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1"/>
      <w:bookmarkEnd w:id="2"/>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3" w:name="_Toc375654233"/>
      <w:bookmarkEnd w:id="0"/>
      <w:r w:rsidRPr="00DD64DC">
        <w:rPr>
          <w:rFonts w:ascii="Times New Roman" w:hAnsi="Times New Roman" w:cs="Times New Roman"/>
          <w:b/>
          <w:bCs/>
          <w:caps/>
          <w:color w:val="auto"/>
          <w:kern w:val="32"/>
          <w:lang w:eastAsia="ru-RU"/>
        </w:rPr>
        <w:t>муниципальнАЯ программа «Развитие образования В ШЕГАРСКОМ РАЙОНЕна 2020-2024 годы</w:t>
      </w:r>
      <w:bookmarkEnd w:id="3"/>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4" w:name="_Toc375654234"/>
      <w:r w:rsidRPr="00DD64DC">
        <w:rPr>
          <w:b/>
          <w:bCs/>
          <w:sz w:val="26"/>
          <w:szCs w:val="26"/>
        </w:rPr>
        <w:t>Краткая характеристика (паспорт)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32343E">
              <w:rPr>
                <w:rFonts w:ascii="Times New Roman" w:eastAsia="Times New Roman" w:hAnsi="Times New Roman" w:cs="Times New Roman"/>
                <w:color w:val="000000"/>
                <w:sz w:val="24"/>
                <w:szCs w:val="24"/>
                <w:lang w:eastAsia="ru-RU"/>
              </w:rPr>
              <w:t xml:space="preserve">494037,898 </w:t>
            </w:r>
            <w:r w:rsidRPr="00DD64DC">
              <w:rPr>
                <w:rFonts w:ascii="Times New Roman" w:hAnsi="Times New Roman" w:cs="Times New Roman"/>
                <w:sz w:val="24"/>
                <w:szCs w:val="24"/>
                <w:lang w:eastAsia="ru-RU"/>
              </w:rPr>
              <w:t>тыс. рублей, в том числе за счет</w:t>
            </w:r>
            <w:r w:rsidR="008A5A9A" w:rsidRPr="00DD64DC">
              <w:rPr>
                <w:rFonts w:ascii="Times New Roman" w:hAnsi="Times New Roman" w:cs="Times New Roman"/>
                <w:sz w:val="24"/>
                <w:szCs w:val="24"/>
                <w:lang w:eastAsia="ru-RU"/>
              </w:rPr>
              <w:t xml:space="preserve"> средств</w:t>
            </w:r>
            <w:r w:rsidRPr="00DD64DC">
              <w:rPr>
                <w:rFonts w:ascii="Times New Roman" w:hAnsi="Times New Roman" w:cs="Times New Roman"/>
                <w:sz w:val="24"/>
                <w:szCs w:val="24"/>
                <w:lang w:eastAsia="ru-RU"/>
              </w:rPr>
              <w:t xml:space="preserve"> </w:t>
            </w:r>
            <w:r w:rsidR="008A5A9A"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2255B0">
              <w:rPr>
                <w:rFonts w:ascii="Times New Roman" w:eastAsia="Times New Roman" w:hAnsi="Times New Roman" w:cs="Times New Roman"/>
                <w:color w:val="000000"/>
                <w:sz w:val="24"/>
                <w:szCs w:val="24"/>
                <w:lang w:eastAsia="ru-RU"/>
              </w:rPr>
              <w:t>85712,9</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 xml:space="preserve">средств </w:t>
            </w:r>
            <w:r w:rsidRPr="00DD64DC">
              <w:rPr>
                <w:rFonts w:ascii="Times New Roman" w:hAnsi="Times New Roman" w:cs="Times New Roman"/>
                <w:sz w:val="24"/>
                <w:szCs w:val="24"/>
                <w:lang w:eastAsia="ru-RU"/>
              </w:rPr>
              <w:t xml:space="preserve">областного бюджета - </w:t>
            </w:r>
            <w:r w:rsidR="00D75EA0" w:rsidRPr="00D75EA0">
              <w:rPr>
                <w:rFonts w:ascii="Times New Roman" w:hAnsi="Times New Roman" w:cs="Times New Roman"/>
                <w:sz w:val="24"/>
                <w:szCs w:val="24"/>
                <w:lang w:eastAsia="ru-RU"/>
              </w:rPr>
              <w:t>216028,35</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средств</w:t>
            </w:r>
            <w:r w:rsidRPr="00DD64DC">
              <w:rPr>
                <w:rFonts w:ascii="Times New Roman" w:hAnsi="Times New Roman" w:cs="Times New Roman"/>
                <w:sz w:val="24"/>
                <w:szCs w:val="24"/>
                <w:lang w:eastAsia="ru-RU"/>
              </w:rPr>
              <w:t xml:space="preserve"> федерального бюджета -  </w:t>
            </w:r>
            <w:r w:rsidR="006009C6" w:rsidRPr="006009C6">
              <w:rPr>
                <w:rFonts w:ascii="Times New Roman" w:hAnsi="Times New Roman" w:cs="Times New Roman"/>
                <w:sz w:val="24"/>
                <w:szCs w:val="24"/>
                <w:lang w:eastAsia="ru-RU"/>
              </w:rPr>
              <w:t>192295,824</w:t>
            </w:r>
          </w:p>
          <w:p w:rsidR="008A5A9A"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A5A9A" w:rsidRPr="00DD64DC"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8A5A9A" w:rsidRPr="00DD64DC"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2255B0" w:rsidP="008A5A9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местного</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8A5A9A" w:rsidRPr="00DD64DC" w:rsidTr="002255B0">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2020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334110,062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13222,7</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185500,88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135385,57</w:t>
                  </w:r>
                </w:p>
              </w:tc>
            </w:tr>
            <w:tr w:rsidR="00F949F5" w:rsidRPr="00DD64DC" w:rsidTr="00EA6934">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F949F5" w:rsidRPr="00DD64DC" w:rsidRDefault="00F949F5" w:rsidP="00F949F5">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2021 г.</w:t>
                  </w:r>
                </w:p>
              </w:tc>
              <w:tc>
                <w:tcPr>
                  <w:tcW w:w="1476" w:type="dxa"/>
                  <w:tcBorders>
                    <w:top w:val="nil"/>
                    <w:left w:val="nil"/>
                    <w:bottom w:val="single" w:sz="8" w:space="0" w:color="auto"/>
                    <w:right w:val="single" w:sz="8" w:space="0" w:color="auto"/>
                  </w:tcBorders>
                  <w:shd w:val="clear" w:color="auto" w:fill="auto"/>
                  <w:hideMark/>
                </w:tcPr>
                <w:p w:rsidR="00F949F5" w:rsidRPr="00E86A46" w:rsidRDefault="002255B0" w:rsidP="00A1442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61591,9</w:t>
                  </w:r>
                  <w:r w:rsidR="0032343E">
                    <w:rPr>
                      <w:rFonts w:ascii="Times New Roman" w:eastAsia="Times New Roman" w:hAnsi="Times New Roman" w:cs="Times New Roman"/>
                      <w:color w:val="000000"/>
                      <w:sz w:val="24"/>
                      <w:szCs w:val="24"/>
                      <w:lang w:eastAsia="ru-RU"/>
                    </w:rPr>
                    <w:t>5</w:t>
                  </w:r>
                  <w:r w:rsidR="00A14429">
                    <w:rPr>
                      <w:rFonts w:ascii="Times New Roman" w:eastAsia="Times New Roman" w:hAnsi="Times New Roman" w:cs="Times New Roman"/>
                      <w:color w:val="000000"/>
                      <w:sz w:val="24"/>
                      <w:szCs w:val="24"/>
                      <w:lang w:eastAsia="ru-RU"/>
                    </w:rPr>
                    <w:t>7</w:t>
                  </w:r>
                </w:p>
              </w:tc>
              <w:tc>
                <w:tcPr>
                  <w:tcW w:w="1647" w:type="dxa"/>
                  <w:tcBorders>
                    <w:top w:val="nil"/>
                    <w:left w:val="nil"/>
                    <w:bottom w:val="single" w:sz="8" w:space="0" w:color="auto"/>
                    <w:right w:val="single" w:sz="8" w:space="0" w:color="auto"/>
                  </w:tcBorders>
                  <w:shd w:val="clear" w:color="auto" w:fill="auto"/>
                  <w:hideMark/>
                </w:tcPr>
                <w:p w:rsidR="00F949F5" w:rsidRPr="00E86A46" w:rsidRDefault="002255B0" w:rsidP="00F949F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8438,0</w:t>
                  </w:r>
                </w:p>
              </w:tc>
              <w:tc>
                <w:tcPr>
                  <w:tcW w:w="1510" w:type="dxa"/>
                  <w:tcBorders>
                    <w:top w:val="nil"/>
                    <w:left w:val="nil"/>
                    <w:bottom w:val="single" w:sz="8" w:space="0" w:color="auto"/>
                    <w:right w:val="single" w:sz="8" w:space="0" w:color="auto"/>
                  </w:tcBorders>
                  <w:shd w:val="clear" w:color="auto" w:fill="auto"/>
                  <w:hideMark/>
                </w:tcPr>
                <w:p w:rsidR="00F949F5" w:rsidRPr="00E86A46" w:rsidRDefault="00F949F5" w:rsidP="00F949F5">
                  <w:pPr>
                    <w:rPr>
                      <w:rFonts w:ascii="Times New Roman" w:eastAsia="Times New Roman" w:hAnsi="Times New Roman" w:cs="Times New Roman"/>
                      <w:color w:val="000000"/>
                      <w:sz w:val="24"/>
                      <w:szCs w:val="24"/>
                      <w:lang w:eastAsia="ru-RU"/>
                    </w:rPr>
                  </w:pPr>
                  <w:r w:rsidRPr="00E86A46">
                    <w:rPr>
                      <w:rFonts w:ascii="Times New Roman" w:eastAsia="Times New Roman" w:hAnsi="Times New Roman" w:cs="Times New Roman"/>
                      <w:color w:val="000000"/>
                      <w:sz w:val="24"/>
                      <w:szCs w:val="24"/>
                      <w:lang w:eastAsia="ru-RU"/>
                    </w:rPr>
                    <w:t>16839,67</w:t>
                  </w:r>
                </w:p>
              </w:tc>
              <w:tc>
                <w:tcPr>
                  <w:tcW w:w="1427" w:type="dxa"/>
                  <w:tcBorders>
                    <w:top w:val="nil"/>
                    <w:left w:val="nil"/>
                    <w:bottom w:val="single" w:sz="8" w:space="0" w:color="auto"/>
                    <w:right w:val="single" w:sz="8" w:space="0" w:color="auto"/>
                  </w:tcBorders>
                  <w:shd w:val="clear" w:color="auto" w:fill="auto"/>
                  <w:hideMark/>
                </w:tcPr>
                <w:p w:rsidR="00F949F5" w:rsidRPr="00E86A46" w:rsidRDefault="00F949F5" w:rsidP="006E6350">
                  <w:pPr>
                    <w:rPr>
                      <w:rFonts w:ascii="Times New Roman" w:eastAsia="Times New Roman" w:hAnsi="Times New Roman" w:cs="Times New Roman"/>
                      <w:color w:val="000000"/>
                      <w:sz w:val="24"/>
                      <w:szCs w:val="24"/>
                      <w:lang w:eastAsia="ru-RU"/>
                    </w:rPr>
                  </w:pPr>
                  <w:r w:rsidRPr="00E86A46">
                    <w:rPr>
                      <w:rFonts w:ascii="Times New Roman" w:eastAsia="Times New Roman" w:hAnsi="Times New Roman" w:cs="Times New Roman"/>
                      <w:color w:val="000000"/>
                      <w:sz w:val="24"/>
                      <w:szCs w:val="24"/>
                      <w:lang w:eastAsia="ru-RU"/>
                    </w:rPr>
                    <w:t>36314,28</w:t>
                  </w:r>
                  <w:r w:rsidR="006E6350">
                    <w:rPr>
                      <w:rFonts w:ascii="Times New Roman" w:eastAsia="Times New Roman" w:hAnsi="Times New Roman" w:cs="Times New Roman"/>
                      <w:color w:val="000000"/>
                      <w:sz w:val="24"/>
                      <w:szCs w:val="24"/>
                      <w:lang w:eastAsia="ru-RU"/>
                    </w:rPr>
                    <w:t>6</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2022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60027,88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30919,11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8512,8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20595,966</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2023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22595</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19490</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3105</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2024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15713</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13643</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2070</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Итого</w:t>
                  </w:r>
                  <w:r>
                    <w:rPr>
                      <w:rFonts w:ascii="Times New Roman" w:eastAsia="Times New Roman" w:hAnsi="Times New Roman" w:cs="Times New Roman"/>
                      <w:color w:val="000000"/>
                      <w:sz w:val="24"/>
                      <w:szCs w:val="24"/>
                      <w:lang w:eastAsia="ru-RU"/>
                    </w:rPr>
                    <w:t>:</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2255B0" w:rsidP="0032343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49403</w:t>
                  </w:r>
                  <w:r w:rsidR="0032343E">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0032343E">
                    <w:rPr>
                      <w:rFonts w:ascii="Times New Roman" w:eastAsia="Times New Roman" w:hAnsi="Times New Roman" w:cs="Times New Roman"/>
                      <w:color w:val="000000"/>
                      <w:sz w:val="24"/>
                      <w:szCs w:val="24"/>
                      <w:lang w:eastAsia="ru-RU"/>
                    </w:rPr>
                    <w:t>898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2255B0" w:rsidP="00D75EA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85712,9</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216028,35</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192295,824</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EE4BD8" w:rsidRPr="00DD64DC">
              <w:rPr>
                <w:rFonts w:ascii="Times New Roman" w:hAnsi="Times New Roman" w:cs="Times New Roman"/>
                <w:sz w:val="24"/>
                <w:szCs w:val="24"/>
                <w:lang w:eastAsia="ru-RU"/>
              </w:rPr>
              <w:t xml:space="preserve">164244,455 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C677A5" w:rsidRPr="00DD64DC">
              <w:rPr>
                <w:rFonts w:ascii="Times New Roman" w:hAnsi="Times New Roman" w:cs="Times New Roman"/>
                <w:sz w:val="24"/>
                <w:szCs w:val="24"/>
                <w:lang w:eastAsia="ru-RU"/>
              </w:rPr>
              <w:t>56551,43</w:t>
            </w:r>
            <w:r w:rsidRPr="00DD64DC">
              <w:rPr>
                <w:rFonts w:ascii="Times New Roman" w:hAnsi="Times New Roman" w:cs="Times New Roman"/>
                <w:sz w:val="24"/>
                <w:szCs w:val="24"/>
                <w:lang w:eastAsia="ru-RU"/>
              </w:rPr>
              <w:t xml:space="preserve">тыс. руб., за счет средств областного бюджета </w:t>
            </w:r>
            <w:r w:rsidR="00A132FD" w:rsidRPr="00DD64DC">
              <w:rPr>
                <w:rFonts w:ascii="Times New Roman" w:hAnsi="Times New Roman" w:cs="Times New Roman"/>
                <w:sz w:val="24"/>
                <w:szCs w:val="24"/>
                <w:lang w:eastAsia="ru-RU"/>
              </w:rPr>
              <w:t>91593,687</w:t>
            </w:r>
            <w:r w:rsidRPr="00DD64DC">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A132FD" w:rsidRPr="00DD64DC">
              <w:rPr>
                <w:rFonts w:ascii="Times New Roman" w:hAnsi="Times New Roman" w:cs="Times New Roman"/>
                <w:sz w:val="24"/>
                <w:szCs w:val="24"/>
                <w:lang w:eastAsia="ru-RU"/>
              </w:rPr>
              <w:t>16</w:t>
            </w:r>
            <w:r w:rsidR="007B6D96" w:rsidRPr="00DD64DC">
              <w:rPr>
                <w:rFonts w:ascii="Times New Roman" w:hAnsi="Times New Roman" w:cs="Times New Roman"/>
                <w:sz w:val="24"/>
                <w:szCs w:val="24"/>
                <w:lang w:eastAsia="ru-RU"/>
              </w:rPr>
              <w:t>205</w:t>
            </w:r>
            <w:r w:rsidR="00A132FD" w:rsidRPr="00DD64DC">
              <w:rPr>
                <w:rFonts w:ascii="Times New Roman" w:hAnsi="Times New Roman" w:cs="Times New Roman"/>
                <w:sz w:val="24"/>
                <w:szCs w:val="24"/>
                <w:lang w:eastAsia="ru-RU"/>
              </w:rPr>
              <w:t>,032</w:t>
            </w:r>
            <w:r w:rsidR="00EE4BD8" w:rsidRPr="00DD64DC">
              <w:rPr>
                <w:rFonts w:ascii="Times New Roman" w:hAnsi="Times New Roman" w:cs="Times New Roman"/>
                <w:sz w:val="24"/>
                <w:szCs w:val="24"/>
                <w:lang w:eastAsia="ru-RU"/>
              </w:rPr>
              <w:t xml:space="preserve"> 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DD64DC"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EE4BD8" w:rsidP="00A14429">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w:t>
                  </w:r>
                  <w:r w:rsidR="00A14429">
                    <w:rPr>
                      <w:rFonts w:ascii="Times New Roman" w:hAnsi="Times New Roman" w:cs="Times New Roman"/>
                      <w:sz w:val="24"/>
                      <w:szCs w:val="24"/>
                      <w:lang w:eastAsia="ru-RU"/>
                    </w:rPr>
                    <w:t>6</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EE4BD8" w:rsidP="00F949F5">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w:t>
                  </w:r>
                  <w:r w:rsidR="00F949F5">
                    <w:rPr>
                      <w:rFonts w:ascii="Times New Roman" w:hAnsi="Times New Roman" w:cs="Times New Roman"/>
                      <w:sz w:val="24"/>
                      <w:szCs w:val="24"/>
                      <w:lang w:eastAsia="ru-RU"/>
                    </w:rPr>
                    <w:t>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w:t>
      </w:r>
      <w:r w:rsidR="0032343E" w:rsidRPr="00DD64DC">
        <w:rPr>
          <w:rFonts w:ascii="Times New Roman" w:hAnsi="Times New Roman" w:cs="Times New Roman"/>
          <w:sz w:val="24"/>
          <w:szCs w:val="24"/>
          <w:lang w:eastAsia="ru-RU"/>
        </w:rPr>
        <w:t>воспитанниками являются 672</w:t>
      </w:r>
      <w:r w:rsidRPr="00DD64DC">
        <w:rPr>
          <w:rFonts w:ascii="Times New Roman" w:hAnsi="Times New Roman" w:cs="Times New Roman"/>
          <w:sz w:val="24"/>
          <w:szCs w:val="24"/>
          <w:lang w:eastAsia="ru-RU"/>
        </w:rPr>
        <w:t xml:space="preserve">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w:t>
      </w:r>
      <w:r w:rsidR="0032343E" w:rsidRPr="00DD64DC">
        <w:rPr>
          <w:rFonts w:ascii="Times New Roman" w:hAnsi="Times New Roman" w:cs="Times New Roman"/>
          <w:sz w:val="24"/>
          <w:szCs w:val="24"/>
          <w:lang w:eastAsia="ru-RU"/>
        </w:rPr>
        <w:t>предполагает прирост</w:t>
      </w:r>
      <w:r w:rsidRPr="00DD64DC">
        <w:rPr>
          <w:rFonts w:ascii="Times New Roman" w:hAnsi="Times New Roman" w:cs="Times New Roman"/>
          <w:sz w:val="24"/>
          <w:szCs w:val="24"/>
          <w:lang w:eastAsia="ru-RU"/>
        </w:rPr>
        <w:t xml:space="preserve"> на 0,35%.</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w:t>
      </w:r>
      <w:r w:rsidR="0032343E" w:rsidRPr="00DD64DC">
        <w:rPr>
          <w:rFonts w:ascii="Times New Roman" w:hAnsi="Times New Roman" w:cs="Times New Roman"/>
          <w:sz w:val="24"/>
          <w:szCs w:val="24"/>
          <w:lang w:eastAsia="ru-RU"/>
        </w:rPr>
        <w:t>санузла</w:t>
      </w: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w:t>
      </w:r>
      <w:r w:rsidR="0032343E" w:rsidRPr="00DD64DC">
        <w:rPr>
          <w:rFonts w:ascii="Times New Roman" w:hAnsi="Times New Roman" w:cs="Times New Roman"/>
          <w:sz w:val="24"/>
          <w:szCs w:val="24"/>
          <w:lang w:eastAsia="ru-RU"/>
        </w:rPr>
        <w:t>строительство теневых</w:t>
      </w:r>
      <w:r w:rsidR="003B2B97" w:rsidRPr="00DD64DC">
        <w:rPr>
          <w:rFonts w:ascii="Times New Roman" w:hAnsi="Times New Roman" w:cs="Times New Roman"/>
          <w:sz w:val="24"/>
          <w:szCs w:val="24"/>
          <w:lang w:eastAsia="ru-RU"/>
        </w:rPr>
        <w:t xml:space="preserve">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w:t>
      </w:r>
      <w:r w:rsidR="0032343E" w:rsidRPr="00DD64DC">
        <w:rPr>
          <w:rFonts w:ascii="Times New Roman" w:hAnsi="Times New Roman" w:cs="Times New Roman"/>
          <w:sz w:val="24"/>
          <w:szCs w:val="24"/>
          <w:lang w:eastAsia="ru-RU"/>
        </w:rPr>
        <w:t>и замена</w:t>
      </w:r>
      <w:r w:rsidRPr="00DD64DC">
        <w:rPr>
          <w:rFonts w:ascii="Times New Roman" w:hAnsi="Times New Roman" w:cs="Times New Roman"/>
          <w:sz w:val="24"/>
          <w:szCs w:val="24"/>
          <w:lang w:eastAsia="ru-RU"/>
        </w:rPr>
        <w:t xml:space="preserve">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4533C0">
        <w:rPr>
          <w:rFonts w:ascii="Times New Roman" w:hAnsi="Times New Roman" w:cs="Times New Roman"/>
          <w:sz w:val="24"/>
          <w:szCs w:val="24"/>
        </w:rPr>
        <w:t>, 2021</w:t>
      </w:r>
      <w:r w:rsidRPr="00DD64DC">
        <w:rPr>
          <w:rFonts w:ascii="Times New Roman" w:hAnsi="Times New Roman" w:cs="Times New Roman"/>
          <w:sz w:val="24"/>
          <w:szCs w:val="24"/>
        </w:rPr>
        <w:t xml:space="preserve"> год</w:t>
      </w:r>
      <w:r w:rsidR="004533C0">
        <w:rPr>
          <w:rFonts w:ascii="Times New Roman" w:hAnsi="Times New Roman" w:cs="Times New Roman"/>
          <w:sz w:val="24"/>
          <w:szCs w:val="24"/>
        </w:rPr>
        <w:t>а</w:t>
      </w:r>
      <w:r w:rsidRPr="00DD64DC">
        <w:rPr>
          <w:rFonts w:ascii="Times New Roman" w:hAnsi="Times New Roman" w:cs="Times New Roman"/>
          <w:sz w:val="24"/>
          <w:szCs w:val="24"/>
        </w:rPr>
        <w:t>.</w:t>
      </w:r>
    </w:p>
    <w:p w:rsidR="00EE4BD8" w:rsidRPr="00DD64DC" w:rsidRDefault="00EE4BD8"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2020-2024 годы составит 164244,455 тыс. руб., в том числе за счет средств федерального бюджета 56551,43тыс. руб., за счет средств областного бюджета 91593,687 тыс. руб., за счет средств муниципального бюджета 16205,032 тыс.  рублей.</w:t>
      </w:r>
    </w:p>
    <w:p w:rsidR="00C677A5" w:rsidRPr="00DD64DC"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EE4BD8" w:rsidRPr="00DD64DC" w:rsidTr="00EE4BD8">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EE4BD8" w:rsidRPr="00DD64DC" w:rsidTr="00EE4BD8">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4784,525</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6,328</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C677A5"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C677A5" w:rsidRPr="00DD64DC" w:rsidRDefault="00C677A5"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0708AD">
          <w:headerReference w:type="default" r:id="rId16"/>
          <w:pgSz w:w="11906" w:h="16838"/>
          <w:pgMar w:top="709"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6989,28929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38747,55</w:t>
            </w:r>
            <w:r w:rsidR="0032343E">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3843,708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3,84</w:t>
            </w:r>
            <w:r w:rsidR="0032343E">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934,57</w:t>
            </w:r>
            <w:r w:rsidR="0032343E">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в ДОУ, соблюдение требований Сан ПиН 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164244,455</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91593,687</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16099,428</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90364E" w:rsidRPr="00DD64DC" w:rsidRDefault="0090364E"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7"/>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586"/>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B70B4C"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285708,5 тыс. рублей, в том числе за счет средств федерального бюджета 98003,66 тыс. руб., за счет областного бюджета – 123611,283тыс. рублей,  за счет местного бюджета – 64197,11тыс. рублей, </w:t>
            </w:r>
          </w:p>
          <w:p w:rsidR="00B70B4C" w:rsidRPr="00B70B4C"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16"/>
              <w:gridCol w:w="1933"/>
              <w:gridCol w:w="1363"/>
              <w:gridCol w:w="1630"/>
            </w:tblGrid>
            <w:tr w:rsidR="00B70B4C" w:rsidRPr="00B70B4C" w:rsidTr="00E86A4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 том числе:</w:t>
                  </w:r>
                </w:p>
              </w:tc>
            </w:tr>
            <w:tr w:rsidR="00B70B4C" w:rsidRPr="00B70B4C" w:rsidTr="00E86A4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Средства </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муниципального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областного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федерального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бюджета</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72271,1</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B70B4C" w:rsidRPr="00B70B4C" w:rsidRDefault="00B70B4C" w:rsidP="006E6350">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11865,08</w:t>
                  </w:r>
                  <w:r w:rsidR="006E6350">
                    <w:rPr>
                      <w:rFonts w:ascii="Times New Roman" w:hAnsi="Times New Roman" w:cs="Times New Roman"/>
                      <w:sz w:val="24"/>
                      <w:szCs w:val="24"/>
                      <w:lang w:eastAsia="ru-RU"/>
                    </w:rPr>
                    <w:t>4</w:t>
                  </w:r>
                </w:p>
              </w:tc>
              <w:tc>
                <w:tcPr>
                  <w:tcW w:w="1630"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20979,33</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4753,23</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86A46">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98003,66</w:t>
                  </w:r>
                </w:p>
              </w:tc>
            </w:tr>
          </w:tbl>
          <w:p w:rsidR="003B2B97" w:rsidRPr="00DD64DC"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A7F34" w:rsidTr="00EA6934">
        <w:tc>
          <w:tcPr>
            <w:tcW w:w="4041"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2024</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Провести капитальный ремонт столовой МКОУ «Маркеловская СОШ», а</w:t>
      </w:r>
      <w:r w:rsidR="003B2B97" w:rsidRPr="00DD64DC">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w:t>
      </w:r>
      <w:r w:rsidR="00B2258F">
        <w:rPr>
          <w:rFonts w:ascii="Times New Roman" w:hAnsi="Times New Roman" w:cs="Times New Roman"/>
          <w:sz w:val="24"/>
          <w:szCs w:val="24"/>
          <w:lang w:eastAsia="ru-RU"/>
        </w:rPr>
        <w:t>;</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B2258F" w:rsidRPr="00DD64D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B2258F">
        <w:rPr>
          <w:rFonts w:ascii="Times New Roman" w:hAnsi="Times New Roman" w:cs="Times New Roman"/>
          <w:sz w:val="24"/>
          <w:szCs w:val="24"/>
          <w:lang w:eastAsia="ru-RU"/>
        </w:rPr>
        <w:t>снащение спортивного зала МКОУ «Трубачевская ООШ»</w:t>
      </w:r>
      <w:r w:rsidRPr="00B2258F">
        <w:rPr>
          <w:rFonts w:ascii="Times New Roman" w:hAnsi="Times New Roman" w:cs="Times New Roman"/>
          <w:sz w:val="24"/>
          <w:szCs w:val="24"/>
          <w:lang w:eastAsia="ru-RU"/>
        </w:rPr>
        <w:tab/>
      </w:r>
      <w:r>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санузлов в МКОУ «Вороновская </w:t>
      </w:r>
      <w:r w:rsidR="00B2258F">
        <w:rPr>
          <w:rFonts w:ascii="Times New Roman" w:hAnsi="Times New Roman" w:cs="Times New Roman"/>
          <w:sz w:val="24"/>
          <w:szCs w:val="24"/>
          <w:lang w:eastAsia="ru-RU"/>
        </w:rPr>
        <w:t>Н</w:t>
      </w:r>
      <w:r w:rsidRPr="00DD64DC">
        <w:rPr>
          <w:rFonts w:ascii="Times New Roman" w:hAnsi="Times New Roman" w:cs="Times New Roman"/>
          <w:sz w:val="24"/>
          <w:szCs w:val="24"/>
          <w:lang w:eastAsia="ru-RU"/>
        </w:rPr>
        <w:t>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установка теневых навесов в ГДО МКОУ «Баткатская СОШ», ГДО МКОУ «Трубачевская СОШ»</w:t>
      </w:r>
      <w:r w:rsidR="00B2258F">
        <w:rPr>
          <w:rFonts w:ascii="Times New Roman" w:hAnsi="Times New Roman" w:cs="Times New Roman"/>
          <w:sz w:val="24"/>
          <w:szCs w:val="24"/>
          <w:lang w:eastAsia="ru-RU"/>
        </w:rPr>
        <w:t>;</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r w:rsidR="00B2258F">
        <w:rPr>
          <w:rFonts w:ascii="Times New Roman" w:hAnsi="Times New Roman" w:cs="Times New Roman"/>
          <w:sz w:val="24"/>
          <w:szCs w:val="24"/>
          <w:lang w:eastAsia="ru-RU"/>
        </w:rPr>
        <w:t>;</w:t>
      </w:r>
    </w:p>
    <w:p w:rsidR="00F56A54" w:rsidRPr="00DD64DC"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F56A54">
        <w:rPr>
          <w:rFonts w:ascii="Times New Roman" w:hAnsi="Times New Roman" w:cs="Times New Roman"/>
          <w:sz w:val="24"/>
          <w:szCs w:val="24"/>
          <w:lang w:eastAsia="ru-RU"/>
        </w:rPr>
        <w:t>бследование технического состояния строительных конструкций здания МКОУ "Баткатская СОШ"</w:t>
      </w:r>
      <w:r>
        <w:rPr>
          <w:rFonts w:ascii="Times New Roman" w:hAnsi="Times New Roman" w:cs="Times New Roman"/>
          <w:sz w:val="24"/>
          <w:szCs w:val="24"/>
          <w:lang w:eastAsia="ru-RU"/>
        </w:rPr>
        <w:t>;</w:t>
      </w:r>
      <w:r w:rsidRPr="00F56A54">
        <w:rPr>
          <w:rFonts w:ascii="Times New Roman" w:hAnsi="Times New Roman" w:cs="Times New Roman"/>
          <w:sz w:val="24"/>
          <w:szCs w:val="24"/>
          <w:lang w:eastAsia="ru-RU"/>
        </w:rPr>
        <w:t xml:space="preserve">  </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Pr>
          <w:rFonts w:ascii="Times New Roman" w:hAnsi="Times New Roman" w:cs="Times New Roman"/>
          <w:sz w:val="24"/>
          <w:szCs w:val="24"/>
          <w:lang w:eastAsia="ru-RU"/>
        </w:rPr>
        <w:t>;</w:t>
      </w:r>
    </w:p>
    <w:p w:rsidR="00B2258F"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56B1A">
        <w:rPr>
          <w:rFonts w:ascii="Times New Roman" w:hAnsi="Times New Roman" w:cs="Times New Roman"/>
          <w:sz w:val="24"/>
          <w:szCs w:val="24"/>
          <w:lang w:eastAsia="ru-RU"/>
        </w:rPr>
        <w:t>п</w:t>
      </w:r>
      <w:r w:rsidRPr="00B2258F">
        <w:rPr>
          <w:rFonts w:ascii="Times New Roman" w:hAnsi="Times New Roman" w:cs="Times New Roman"/>
          <w:sz w:val="24"/>
          <w:szCs w:val="24"/>
          <w:lang w:eastAsia="ru-RU"/>
        </w:rPr>
        <w:t>риобретение дымососа в котельную МКОУ «Трубачевская ООШ»</w:t>
      </w:r>
      <w:r>
        <w:rPr>
          <w:rFonts w:ascii="Times New Roman" w:hAnsi="Times New Roman" w:cs="Times New Roman"/>
          <w:sz w:val="24"/>
          <w:szCs w:val="24"/>
          <w:lang w:eastAsia="ru-RU"/>
        </w:rPr>
        <w:t>.</w:t>
      </w:r>
    </w:p>
    <w:p w:rsidR="006E6350"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выполнение ремонта части кровли на</w:t>
      </w:r>
      <w:r w:rsidR="00656B1A">
        <w:rPr>
          <w:rFonts w:ascii="Times New Roman" w:hAnsi="Times New Roman" w:cs="Times New Roman"/>
          <w:sz w:val="24"/>
          <w:szCs w:val="24"/>
          <w:lang w:eastAsia="ru-RU"/>
        </w:rPr>
        <w:t>д</w:t>
      </w:r>
      <w:r>
        <w:rPr>
          <w:rFonts w:ascii="Times New Roman" w:hAnsi="Times New Roman" w:cs="Times New Roman"/>
          <w:sz w:val="24"/>
          <w:szCs w:val="24"/>
          <w:lang w:eastAsia="ru-RU"/>
        </w:rPr>
        <w:t xml:space="preserve"> спортзалом в МКОУ «Трубачевская ООШ»</w:t>
      </w:r>
      <w:r w:rsidR="00656B1A">
        <w:rPr>
          <w:rFonts w:ascii="Times New Roman" w:hAnsi="Times New Roman" w:cs="Times New Roman"/>
          <w:sz w:val="24"/>
          <w:szCs w:val="24"/>
          <w:lang w:eastAsia="ru-RU"/>
        </w:rPr>
        <w:t>;</w:t>
      </w:r>
    </w:p>
    <w:p w:rsidR="00656B1A"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выполнение капитального ремонта пола в столовой МКОУ «Трубачевская ООШ»;</w:t>
      </w:r>
    </w:p>
    <w:p w:rsidR="00656B1A" w:rsidRPr="00DD64DC"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оснащение столовой МКОУ «Маркеловская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77A5"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FA7F34">
        <w:rPr>
          <w:rFonts w:ascii="Times New Roman" w:hAnsi="Times New Roman" w:cs="Times New Roman"/>
          <w:sz w:val="24"/>
          <w:szCs w:val="24"/>
        </w:rPr>
        <w:t>, 2021</w:t>
      </w:r>
      <w:r w:rsidR="00C677A5" w:rsidRPr="00DD64DC">
        <w:rPr>
          <w:rFonts w:ascii="Times New Roman" w:hAnsi="Times New Roman" w:cs="Times New Roman"/>
          <w:sz w:val="24"/>
          <w:szCs w:val="24"/>
        </w:rPr>
        <w:t xml:space="preserve"> год</w:t>
      </w:r>
      <w:r w:rsidR="00FA7F34">
        <w:rPr>
          <w:rFonts w:ascii="Times New Roman" w:hAnsi="Times New Roman" w:cs="Times New Roman"/>
          <w:sz w:val="24"/>
          <w:szCs w:val="24"/>
        </w:rPr>
        <w:t>а</w:t>
      </w:r>
      <w:r w:rsidR="00C677A5" w:rsidRPr="00DD64DC">
        <w:rPr>
          <w:rFonts w:ascii="Times New Roman" w:hAnsi="Times New Roman" w:cs="Times New Roman"/>
          <w:sz w:val="24"/>
          <w:szCs w:val="24"/>
        </w:rPr>
        <w:t>.</w:t>
      </w:r>
    </w:p>
    <w:p w:rsidR="00FA7F34" w:rsidRPr="00DD64DC" w:rsidRDefault="00FA7F34" w:rsidP="00FA7F3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D73AE" w:rsidRPr="00DD73AE">
        <w:rPr>
          <w:rFonts w:ascii="Times New Roman" w:hAnsi="Times New Roman" w:cs="Times New Roman"/>
          <w:sz w:val="24"/>
          <w:szCs w:val="24"/>
          <w:lang w:eastAsia="ru-RU"/>
        </w:rPr>
        <w:t>285708,5</w:t>
      </w:r>
      <w:r w:rsidR="00DD73AE">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w:t>
      </w:r>
      <w:r w:rsidR="00B70B4C" w:rsidRPr="00DD73AE">
        <w:rPr>
          <w:rFonts w:ascii="Times New Roman" w:hAnsi="Times New Roman" w:cs="Times New Roman"/>
          <w:sz w:val="24"/>
          <w:szCs w:val="24"/>
          <w:lang w:eastAsia="ru-RU"/>
        </w:rPr>
        <w:t>98003,66</w:t>
      </w:r>
      <w:r w:rsidR="00B70B4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областного бюджета – </w:t>
      </w:r>
      <w:r w:rsidR="00B70B4C" w:rsidRPr="00B70B4C">
        <w:rPr>
          <w:rFonts w:ascii="Times New Roman" w:hAnsi="Times New Roman" w:cs="Times New Roman"/>
          <w:sz w:val="24"/>
          <w:szCs w:val="24"/>
          <w:lang w:eastAsia="ru-RU"/>
        </w:rPr>
        <w:t>123611,283</w:t>
      </w:r>
      <w:r w:rsidRPr="00DD64DC">
        <w:rPr>
          <w:rFonts w:ascii="Times New Roman" w:hAnsi="Times New Roman" w:cs="Times New Roman"/>
          <w:sz w:val="24"/>
          <w:szCs w:val="24"/>
          <w:lang w:eastAsia="ru-RU"/>
        </w:rPr>
        <w:t xml:space="preserve">тыс. рублей,  за счет местного бюджета – </w:t>
      </w:r>
      <w:r w:rsidR="00E554EA" w:rsidRPr="00E554EA">
        <w:rPr>
          <w:rFonts w:ascii="Times New Roman" w:hAnsi="Times New Roman" w:cs="Times New Roman"/>
          <w:sz w:val="24"/>
          <w:szCs w:val="24"/>
          <w:lang w:eastAsia="ru-RU"/>
        </w:rPr>
        <w:t>64197,11</w:t>
      </w:r>
      <w:r w:rsidRPr="00DD64DC">
        <w:rPr>
          <w:rFonts w:ascii="Times New Roman" w:hAnsi="Times New Roman" w:cs="Times New Roman"/>
          <w:sz w:val="24"/>
          <w:szCs w:val="24"/>
          <w:lang w:eastAsia="ru-RU"/>
        </w:rPr>
        <w:t xml:space="preserve">тыс. рублей, </w:t>
      </w:r>
    </w:p>
    <w:p w:rsidR="00FA7F34" w:rsidRPr="00DD64DC" w:rsidRDefault="00FA7F34" w:rsidP="00FA7F34">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72271,1</w:t>
            </w:r>
          </w:p>
        </w:tc>
      </w:tr>
      <w:tr w:rsidR="00DD73AE" w:rsidRPr="00FA7F34"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11865,083</w:t>
            </w:r>
          </w:p>
        </w:tc>
        <w:tc>
          <w:tcPr>
            <w:tcW w:w="1630"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20979,33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4753,23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DD73AE">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98003,66</w:t>
            </w:r>
          </w:p>
        </w:tc>
      </w:tr>
    </w:tbl>
    <w:p w:rsidR="00E548F9" w:rsidRDefault="00FA7F34" w:rsidP="00D75EA0">
      <w:pPr>
        <w:tabs>
          <w:tab w:val="left" w:pos="1134"/>
        </w:tabs>
        <w:spacing w:after="0" w:line="240" w:lineRule="auto"/>
        <w:ind w:right="-1" w:firstLine="142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r w:rsidR="00D75EA0">
        <w:rPr>
          <w:rFonts w:ascii="Times New Roman" w:hAnsi="Times New Roman" w:cs="Times New Roman"/>
          <w:sz w:val="24"/>
          <w:szCs w:val="24"/>
          <w:lang w:eastAsia="ru-RU"/>
        </w:rPr>
        <w:t>.</w:t>
      </w:r>
    </w:p>
    <w:p w:rsidR="00D75EA0" w:rsidRPr="00DD64DC" w:rsidRDefault="00D75EA0" w:rsidP="00D75EA0">
      <w:pPr>
        <w:tabs>
          <w:tab w:val="left" w:pos="1134"/>
        </w:tabs>
        <w:spacing w:after="0" w:line="240" w:lineRule="auto"/>
        <w:ind w:right="-1" w:firstLine="1429"/>
        <w:jc w:val="both"/>
        <w:rPr>
          <w:rFonts w:ascii="Times New Roman" w:hAnsi="Times New Roman" w:cs="Times New Roman"/>
          <w:b/>
          <w:bCs/>
          <w:sz w:val="24"/>
          <w:szCs w:val="24"/>
        </w:rPr>
      </w:pP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075922" w:rsidP="00FC51F5">
            <w:pPr>
              <w:widowControl w:val="0"/>
              <w:autoSpaceDE w:val="0"/>
              <w:autoSpaceDN w:val="0"/>
              <w:adjustRightInd w:val="0"/>
              <w:jc w:val="center"/>
              <w:rPr>
                <w:rFonts w:ascii="Times New Roman" w:hAnsi="Times New Roman" w:cs="Times New Roman"/>
              </w:rPr>
            </w:pPr>
            <w:r>
              <w:rPr>
                <w:rFonts w:ascii="Times New Roman" w:hAnsi="Times New Roman" w:cs="Times New Roman"/>
              </w:rPr>
              <w:t>1899,542</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1842,563</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56,986</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75922"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3137,47417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3043,350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94,12417</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доступности современных образовательных технологий для 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E9689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CA1B25">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w:t>
            </w:r>
            <w:r w:rsidR="00CA1B25">
              <w:rPr>
                <w:rFonts w:ascii="Times New Roman" w:hAnsi="Times New Roman" w:cs="Times New Roman"/>
              </w:rPr>
              <w:t xml:space="preserve"> спортивного зала</w:t>
            </w:r>
            <w:r w:rsidRPr="00DD64DC">
              <w:rPr>
                <w:rFonts w:ascii="Times New Roman" w:hAnsi="Times New Roman" w:cs="Times New Roman"/>
              </w:rPr>
              <w:t xml:space="preserve"> МКОУ «Трубачевская </w:t>
            </w:r>
            <w:r w:rsidR="00CA1B25">
              <w:rPr>
                <w:rFonts w:ascii="Times New Roman" w:hAnsi="Times New Roman" w:cs="Times New Roman"/>
              </w:rPr>
              <w:t>О</w:t>
            </w:r>
            <w:r w:rsidRPr="00DD64DC">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CA1B25"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11802,56</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CA1B25"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2567,459</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E96891" w:rsidRPr="00DD64DC" w:rsidTr="00626ECA">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sidRPr="00E96891">
              <w:rPr>
                <w:rFonts w:ascii="Times New Roman" w:hAnsi="Times New Roman" w:cs="Times New Roman"/>
              </w:rPr>
              <w:t xml:space="preserve">Обследование технического состояния строительных конструкций  здания МКОУ "Баткатская СОШ"  </w:t>
            </w:r>
          </w:p>
        </w:tc>
        <w:tc>
          <w:tcPr>
            <w:tcW w:w="986"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eastAsia="Times New Roman" w:hAnsi="Times New Roman"/>
                <w:lang w:eastAsia="ru-RU"/>
              </w:rPr>
              <w:t>599, 896</w:t>
            </w:r>
          </w:p>
        </w:tc>
        <w:tc>
          <w:tcPr>
            <w:tcW w:w="993"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rPr>
                <w:rFonts w:ascii="Times New Roman" w:hAnsi="Times New Roman" w:cs="Times New Roman"/>
              </w:rPr>
            </w:pPr>
            <w:r w:rsidRPr="00E96891">
              <w:rPr>
                <w:rFonts w:ascii="Times New Roman" w:eastAsia="Times New Roman" w:hAnsi="Times New Roman"/>
                <w:lang w:eastAsia="ru-RU"/>
              </w:rPr>
              <w:t>599, 896</w:t>
            </w:r>
          </w:p>
        </w:tc>
        <w:tc>
          <w:tcPr>
            <w:tcW w:w="992"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DD64DC" w:rsidRDefault="00E9689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E96891">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E96891">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B4150D"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E96891">
            <w:pPr>
              <w:widowControl w:val="0"/>
              <w:autoSpaceDE w:val="0"/>
              <w:autoSpaceDN w:val="0"/>
              <w:adjustRightInd w:val="0"/>
              <w:rPr>
                <w:rFonts w:ascii="Times New Roman" w:hAnsi="Times New Roman" w:cs="Times New Roman"/>
              </w:rPr>
            </w:pPr>
            <w:r>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rPr>
                <w:rFonts w:ascii="Times New Roman" w:hAnsi="Times New Roman" w:cs="Times New Roman"/>
              </w:rPr>
            </w:pPr>
            <w:r w:rsidRPr="00B4150D">
              <w:rPr>
                <w:rFonts w:ascii="Times New Roman" w:hAnsi="Times New Roman" w:cs="Times New Roman"/>
              </w:rPr>
              <w:t>Оснащение спортивного зала МКОУ «Трубачевская ООШ»</w:t>
            </w:r>
            <w:r w:rsidRPr="00B4150D">
              <w:rPr>
                <w:rFonts w:ascii="Times New Roman" w:hAnsi="Times New Roman" w:cs="Times New Roman"/>
              </w:rPr>
              <w:tab/>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FC2A39">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МКОУ «</w:t>
            </w:r>
            <w:r>
              <w:rPr>
                <w:rFonts w:ascii="Times New Roman" w:hAnsi="Times New Roman" w:cs="Times New Roman"/>
              </w:rPr>
              <w:t>Трубачевская ООШ</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B4150D" w:rsidRPr="00DD64DC" w:rsidRDefault="00B4150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16</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17</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19</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.20</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r w:rsidR="00B4150D">
              <w:rPr>
                <w:rFonts w:ascii="Times New Roman" w:hAnsi="Times New Roman" w:cs="Times New Roman"/>
              </w:rPr>
              <w:t>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предупреждение распространение новой короновирусной  инфекции</w:t>
            </w:r>
          </w:p>
        </w:tc>
      </w:tr>
      <w:tr w:rsidR="00B4150D"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widowControl w:val="0"/>
              <w:autoSpaceDE w:val="0"/>
              <w:autoSpaceDN w:val="0"/>
              <w:adjustRightInd w:val="0"/>
              <w:rPr>
                <w:rFonts w:ascii="Times New Roman" w:hAnsi="Times New Roman" w:cs="Times New Roman"/>
              </w:rPr>
            </w:pPr>
            <w:r>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rPr>
                <w:rFonts w:ascii="Times New Roman" w:eastAsia="Times New Roman" w:hAnsi="Times New Roman"/>
                <w:bCs/>
                <w:lang w:eastAsia="ru-RU"/>
              </w:rPr>
            </w:pPr>
            <w:r w:rsidRPr="00B4150D">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s="Times New Roman"/>
              </w:rPr>
            </w:pPr>
            <w:r>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 xml:space="preserve">МКОУ «Трубачевская </w:t>
            </w:r>
            <w:r>
              <w:rPr>
                <w:rFonts w:ascii="Times New Roman" w:hAnsi="Times New Roman" w:cs="Times New Roman"/>
              </w:rPr>
              <w:t>О</w:t>
            </w:r>
            <w:r w:rsidRPr="00DD64DC">
              <w:rPr>
                <w:rFonts w:ascii="Times New Roman" w:hAnsi="Times New Roman" w:cs="Times New Roman"/>
              </w:rPr>
              <w:t>ОШ»</w:t>
            </w:r>
          </w:p>
        </w:tc>
        <w:tc>
          <w:tcPr>
            <w:tcW w:w="2538"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w:t>
            </w:r>
            <w:r>
              <w:rPr>
                <w:rFonts w:ascii="Times New Roman" w:hAnsi="Times New Roman" w:cs="Times New Roman"/>
              </w:rPr>
              <w:t>.</w:t>
            </w:r>
          </w:p>
        </w:tc>
      </w:tr>
      <w:tr w:rsidR="00656B1A"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56B1A"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2.24</w:t>
            </w:r>
          </w:p>
        </w:tc>
        <w:tc>
          <w:tcPr>
            <w:tcW w:w="2563" w:type="dxa"/>
            <w:tcBorders>
              <w:top w:val="single" w:sz="4" w:space="0" w:color="auto"/>
              <w:left w:val="single" w:sz="4" w:space="0" w:color="auto"/>
              <w:bottom w:val="single" w:sz="4" w:space="0" w:color="auto"/>
              <w:right w:val="single" w:sz="4" w:space="0" w:color="auto"/>
            </w:tcBorders>
          </w:tcPr>
          <w:p w:rsidR="00656B1A" w:rsidRPr="00B4150D" w:rsidRDefault="00153DCF" w:rsidP="009C008D">
            <w:pPr>
              <w:rPr>
                <w:rFonts w:ascii="Times New Roman" w:eastAsia="Times New Roman" w:hAnsi="Times New Roman"/>
                <w:bCs/>
                <w:lang w:eastAsia="ru-RU"/>
              </w:rPr>
            </w:pPr>
            <w:r w:rsidRPr="00153DCF">
              <w:rPr>
                <w:rFonts w:ascii="Times New Roman" w:eastAsia="Times New Roman" w:hAnsi="Times New Roman"/>
                <w:bCs/>
                <w:lang w:eastAsia="ru-RU"/>
              </w:rPr>
              <w:t>Выполнение ремонта части кровли на спортзалом в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olor w:val="000000" w:themeColor="text1"/>
              </w:rPr>
            </w:pPr>
            <w:r w:rsidRPr="00153DCF">
              <w:rPr>
                <w:rFonts w:ascii="Times New Roman" w:hAnsi="Times New Roman"/>
                <w:color w:val="000000" w:themeColor="text1"/>
              </w:rPr>
              <w:t>43,890</w:t>
            </w:r>
          </w:p>
        </w:tc>
        <w:tc>
          <w:tcPr>
            <w:tcW w:w="993" w:type="dxa"/>
            <w:tcBorders>
              <w:top w:val="single" w:sz="4" w:space="0" w:color="auto"/>
              <w:left w:val="single" w:sz="4" w:space="0" w:color="auto"/>
              <w:bottom w:val="single" w:sz="4" w:space="0" w:color="auto"/>
              <w:right w:val="single" w:sz="4" w:space="0" w:color="auto"/>
            </w:tcBorders>
          </w:tcPr>
          <w:p w:rsidR="00656B1A" w:rsidRDefault="00153DCF"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56B1A" w:rsidRDefault="00153DCF" w:rsidP="009C008D">
            <w:pPr>
              <w:jc w:val="center"/>
              <w:rPr>
                <w:rFonts w:ascii="Times New Roman" w:hAnsi="Times New Roman" w:cs="Times New Roman"/>
              </w:rPr>
            </w:pPr>
            <w:r w:rsidRPr="00153DCF">
              <w:rPr>
                <w:rFonts w:ascii="Times New Roman" w:hAnsi="Times New Roman" w:cs="Times New Roman"/>
              </w:rPr>
              <w:t>43,890</w:t>
            </w:r>
          </w:p>
        </w:tc>
        <w:tc>
          <w:tcPr>
            <w:tcW w:w="992" w:type="dxa"/>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56B1A" w:rsidRPr="00DD64DC" w:rsidRDefault="00AB784C" w:rsidP="00B4150D">
            <w:pPr>
              <w:rPr>
                <w:rFonts w:ascii="Times New Roman" w:hAnsi="Times New Roman" w:cs="Times New Roman"/>
              </w:rPr>
            </w:pPr>
            <w:r w:rsidRPr="00656B1A">
              <w:rPr>
                <w:rFonts w:ascii="Times New Roman" w:eastAsia="Times New Roman" w:hAnsi="Times New Roman"/>
                <w:bCs/>
                <w:lang w:eastAsia="ru-RU"/>
              </w:rPr>
              <w:t>МКОУ "</w:t>
            </w:r>
            <w:r w:rsidRPr="00656B1A">
              <w:rPr>
                <w:rFonts w:ascii="Times New Roman" w:eastAsia="Times New Roman" w:hAnsi="Times New Roman"/>
                <w:bCs/>
                <w:lang w:eastAsia="ru-RU"/>
              </w:rPr>
              <w:t>Труба</w:t>
            </w:r>
            <w:r>
              <w:rPr>
                <w:rFonts w:ascii="Times New Roman" w:eastAsia="Times New Roman" w:hAnsi="Times New Roman"/>
                <w:bCs/>
                <w:lang w:eastAsia="ru-RU"/>
              </w:rPr>
              <w:t>ч</w:t>
            </w:r>
            <w:r w:rsidRPr="00656B1A">
              <w:rPr>
                <w:rFonts w:ascii="Times New Roman" w:eastAsia="Times New Roman" w:hAnsi="Times New Roman"/>
                <w:bCs/>
                <w:lang w:eastAsia="ru-RU"/>
              </w:rPr>
              <w:t>евская</w:t>
            </w:r>
            <w:r w:rsidRPr="00656B1A">
              <w:rPr>
                <w:rFonts w:ascii="Times New Roman" w:eastAsia="Times New Roman" w:hAnsi="Times New Roman"/>
                <w:bCs/>
                <w:lang w:eastAsia="ru-RU"/>
              </w:rPr>
              <w:t xml:space="preserve"> ООШ"</w:t>
            </w:r>
          </w:p>
        </w:tc>
        <w:tc>
          <w:tcPr>
            <w:tcW w:w="2538" w:type="dxa"/>
            <w:tcBorders>
              <w:top w:val="single" w:sz="4" w:space="0" w:color="auto"/>
              <w:left w:val="single" w:sz="4" w:space="0" w:color="auto"/>
              <w:bottom w:val="single" w:sz="4" w:space="0" w:color="auto"/>
              <w:right w:val="single" w:sz="4" w:space="0" w:color="auto"/>
            </w:tcBorders>
          </w:tcPr>
          <w:p w:rsidR="00656B1A" w:rsidRPr="00DD64DC" w:rsidRDefault="00153DCF" w:rsidP="00153DCF">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обучающихся</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w:t>
            </w:r>
            <w:r w:rsidR="0078616F" w:rsidRPr="00DD64DC">
              <w:rPr>
                <w:rFonts w:ascii="Times New Roman" w:hAnsi="Times New Roman" w:cs="Times New Roman"/>
              </w:rPr>
              <w:t>2,2</w:t>
            </w:r>
            <w:r w:rsidR="00AB4FEF">
              <w:rPr>
                <w:rFonts w:ascii="Times New Roman" w:hAnsi="Times New Roman" w:cs="Times New Roman"/>
              </w:rPr>
              <w:t>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w:t>
            </w:r>
            <w:r w:rsidR="0078616F" w:rsidRPr="00DD64DC">
              <w:rPr>
                <w:rFonts w:ascii="Times New Roman" w:hAnsi="Times New Roman" w:cs="Times New Roman"/>
              </w:rPr>
              <w:t>2,2</w:t>
            </w:r>
            <w:r w:rsidR="00AB4FEF">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2097,195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jc w:val="center"/>
              <w:rPr>
                <w:rFonts w:ascii="Times New Roman" w:hAnsi="Times New Roman" w:cs="Times New Roman"/>
              </w:rPr>
            </w:pPr>
            <w:r>
              <w:rPr>
                <w:rFonts w:ascii="Times New Roman" w:hAnsi="Times New Roman" w:cs="Times New Roman"/>
              </w:rPr>
              <w:t>314,595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075922"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075922">
        <w:trPr>
          <w:trHeight w:val="83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075922" w:rsidRPr="00DD64DC" w:rsidTr="00075922">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075922" w:rsidRPr="00B4150D" w:rsidRDefault="00075922" w:rsidP="00075922">
            <w:pPr>
              <w:rPr>
                <w:rFonts w:ascii="Times New Roman" w:eastAsia="Times New Roman" w:hAnsi="Times New Roman"/>
                <w:bCs/>
                <w:lang w:eastAsia="ru-RU"/>
              </w:rPr>
            </w:pPr>
            <w:r w:rsidRPr="00656B1A">
              <w:rPr>
                <w:rFonts w:ascii="Times New Roman" w:eastAsia="Times New Roman" w:hAnsi="Times New Roman"/>
                <w:bCs/>
                <w:lang w:eastAsia="ru-RU"/>
              </w:rPr>
              <w:t>Оснащение столовой МКОУ "Маркеловская СОШ"</w:t>
            </w:r>
            <w:r w:rsidRPr="00656B1A">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olor w:val="000000" w:themeColor="text1"/>
              </w:rPr>
            </w:pPr>
            <w:r w:rsidRPr="00075922">
              <w:rPr>
                <w:rFonts w:ascii="Times New Roman" w:hAnsi="Times New Roman"/>
                <w:color w:val="000000" w:themeColor="text1"/>
              </w:rPr>
              <w:t>294,465</w:t>
            </w:r>
          </w:p>
        </w:tc>
        <w:tc>
          <w:tcPr>
            <w:tcW w:w="993"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s="Times New Roman"/>
              </w:rPr>
            </w:pPr>
            <w:r w:rsidRPr="00075922">
              <w:rPr>
                <w:rFonts w:ascii="Times New Roman" w:hAnsi="Times New Roman" w:cs="Times New Roman"/>
              </w:rPr>
              <w:t>294,465</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bookmarkStart w:id="5" w:name="_GoBack"/>
            <w:bookmarkEnd w:id="5"/>
          </w:p>
        </w:tc>
        <w:tc>
          <w:tcPr>
            <w:tcW w:w="1276" w:type="dxa"/>
            <w:gridSpan w:val="2"/>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656B1A">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spacing w:after="200" w:line="276" w:lineRule="auto"/>
              <w:rPr>
                <w:rFonts w:ascii="Times New Roman" w:hAnsi="Times New Roman" w:cs="Times New Roman"/>
              </w:rPr>
            </w:pPr>
            <w:r>
              <w:rPr>
                <w:rFonts w:ascii="Times New Roman" w:hAnsi="Times New Roman" w:cs="Times New Roman"/>
              </w:rPr>
              <w:t>Обеспечение обучающихся горячим питанием</w:t>
            </w:r>
          </w:p>
        </w:tc>
      </w:tr>
      <w:tr w:rsidR="00075922" w:rsidRPr="00DD64DC" w:rsidTr="00075922">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075922" w:rsidRPr="00B4150D" w:rsidRDefault="00075922" w:rsidP="00075922">
            <w:pPr>
              <w:rPr>
                <w:rFonts w:ascii="Times New Roman" w:eastAsia="Times New Roman" w:hAnsi="Times New Roman"/>
                <w:bCs/>
                <w:lang w:eastAsia="ru-RU"/>
              </w:rPr>
            </w:pPr>
            <w:r w:rsidRPr="00153DCF">
              <w:rPr>
                <w:rFonts w:ascii="Times New Roman" w:eastAsia="Times New Roman" w:hAnsi="Times New Roman"/>
                <w:bCs/>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olor w:val="000000" w:themeColor="text1"/>
              </w:rPr>
            </w:pPr>
            <w:r w:rsidRPr="00153DCF">
              <w:rPr>
                <w:rFonts w:ascii="Times New Roman" w:hAnsi="Times New Roman"/>
                <w:color w:val="000000" w:themeColor="text1"/>
              </w:rPr>
              <w:t>97,43992</w:t>
            </w:r>
          </w:p>
        </w:tc>
        <w:tc>
          <w:tcPr>
            <w:tcW w:w="993"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s="Times New Roman"/>
              </w:rPr>
            </w:pPr>
            <w:r w:rsidRPr="00153DCF">
              <w:rPr>
                <w:rFonts w:ascii="Times New Roman" w:hAnsi="Times New Roman" w:cs="Times New Roman"/>
              </w:rPr>
              <w:t>97,43992</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656B1A">
              <w:rPr>
                <w:rFonts w:ascii="Times New Roman" w:eastAsia="Times New Roman" w:hAnsi="Times New Roman"/>
                <w:bCs/>
                <w:lang w:eastAsia="ru-RU"/>
              </w:rPr>
              <w:t>МКОУ "Труба</w:t>
            </w:r>
            <w:r>
              <w:rPr>
                <w:rFonts w:ascii="Times New Roman" w:eastAsia="Times New Roman" w:hAnsi="Times New Roman"/>
                <w:bCs/>
                <w:lang w:eastAsia="ru-RU"/>
              </w:rPr>
              <w:t>ч</w:t>
            </w:r>
            <w:r w:rsidRPr="00656B1A">
              <w:rPr>
                <w:rFonts w:ascii="Times New Roman" w:eastAsia="Times New Roman" w:hAnsi="Times New Roman"/>
                <w:bCs/>
                <w:lang w:eastAsia="ru-RU"/>
              </w:rPr>
              <w:t>евская ООШ"</w:t>
            </w:r>
          </w:p>
        </w:tc>
        <w:tc>
          <w:tcPr>
            <w:tcW w:w="2538"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spacing w:after="200" w:line="276" w:lineRule="auto"/>
              <w:rPr>
                <w:rFonts w:ascii="Times New Roman" w:hAnsi="Times New Roman" w:cs="Times New Roman"/>
              </w:rPr>
            </w:pPr>
            <w:r>
              <w:rPr>
                <w:rFonts w:ascii="Times New Roman" w:hAnsi="Times New Roman" w:cs="Times New Roman"/>
              </w:rPr>
              <w:t>Обеспечение обучающихся горячим питанием</w:t>
            </w:r>
          </w:p>
        </w:tc>
      </w:tr>
      <w:tr w:rsidR="00075922"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5</w:t>
            </w:r>
          </w:p>
        </w:tc>
        <w:tc>
          <w:tcPr>
            <w:tcW w:w="2563"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w:t>
            </w:r>
            <w:r>
              <w:rPr>
                <w:rFonts w:ascii="Times New Roman" w:hAnsi="Times New Roman" w:cs="Times New Roman"/>
              </w:rPr>
              <w:t>5</w:t>
            </w:r>
            <w:r w:rsidRPr="00DD64DC">
              <w:rPr>
                <w:rFonts w:ascii="Times New Roman" w:hAnsi="Times New Roman" w:cs="Times New Roman"/>
              </w:rPr>
              <w:t>2,0</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w:t>
            </w:r>
            <w:r>
              <w:rPr>
                <w:rFonts w:ascii="Times New Roman" w:hAnsi="Times New Roman" w:cs="Times New Roman"/>
              </w:rPr>
              <w:t>5</w:t>
            </w:r>
            <w:r w:rsidRPr="00DD64DC">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6</w:t>
            </w:r>
          </w:p>
        </w:tc>
        <w:tc>
          <w:tcPr>
            <w:tcW w:w="2563" w:type="dxa"/>
            <w:vMerge w:val="restart"/>
            <w:tcBorders>
              <w:top w:val="single" w:sz="4" w:space="0" w:color="auto"/>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075922" w:rsidRPr="00DD64DC" w:rsidTr="00626ECA">
        <w:trPr>
          <w:trHeight w:val="507"/>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387"/>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520"/>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7</w:t>
            </w:r>
          </w:p>
        </w:tc>
        <w:tc>
          <w:tcPr>
            <w:tcW w:w="2563"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07592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6066,3</w:t>
            </w:r>
          </w:p>
        </w:tc>
        <w:tc>
          <w:tcPr>
            <w:tcW w:w="993"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5569,877</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75922"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r w:rsidRPr="00D75EA0">
              <w:rPr>
                <w:rFonts w:ascii="Times New Roman" w:hAnsi="Times New Roman" w:cs="Times New Roman"/>
                <w:b/>
              </w:rPr>
              <w:tab/>
            </w:r>
            <w:r w:rsidRPr="00D75EA0">
              <w:rPr>
                <w:rFonts w:ascii="Times New Roman" w:hAnsi="Times New Roman" w:cs="Times New Roman"/>
                <w:b/>
              </w:rPr>
              <w:tab/>
            </w:r>
            <w:r w:rsidRPr="00E554EA">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075922" w:rsidRPr="00086F34" w:rsidRDefault="00075922" w:rsidP="00075922">
            <w:pPr>
              <w:rPr>
                <w:rFonts w:ascii="Times New Roman" w:hAnsi="Times New Roman" w:cs="Times New Roman"/>
                <w:b/>
              </w:rPr>
            </w:pPr>
            <w:r w:rsidRPr="00DD73AE">
              <w:rPr>
                <w:rFonts w:ascii="Times New Roman" w:hAnsi="Times New Roman" w:cs="Times New Roman"/>
                <w:b/>
              </w:rPr>
              <w:t>285708,5</w:t>
            </w:r>
          </w:p>
        </w:tc>
        <w:tc>
          <w:tcPr>
            <w:tcW w:w="993" w:type="dxa"/>
            <w:tcBorders>
              <w:top w:val="single" w:sz="8" w:space="0" w:color="auto"/>
              <w:left w:val="single" w:sz="4" w:space="0" w:color="auto"/>
              <w:bottom w:val="single" w:sz="4" w:space="0" w:color="auto"/>
              <w:right w:val="single" w:sz="4" w:space="0" w:color="auto"/>
            </w:tcBorders>
          </w:tcPr>
          <w:p w:rsidR="00075922" w:rsidRPr="00086F34" w:rsidRDefault="00075922" w:rsidP="00075922">
            <w:pPr>
              <w:rPr>
                <w:rFonts w:ascii="Times New Roman" w:hAnsi="Times New Roman" w:cs="Times New Roman"/>
                <w:b/>
              </w:rPr>
            </w:pPr>
            <w:r w:rsidRPr="00DD73AE">
              <w:rPr>
                <w:rFonts w:ascii="Times New Roman" w:hAnsi="Times New Roman" w:cs="Times New Roman"/>
                <w:b/>
              </w:rPr>
              <w:t>98003,66</w:t>
            </w:r>
          </w:p>
        </w:tc>
        <w:tc>
          <w:tcPr>
            <w:tcW w:w="992" w:type="dxa"/>
            <w:tcBorders>
              <w:top w:val="single" w:sz="8" w:space="0" w:color="auto"/>
              <w:left w:val="single" w:sz="4" w:space="0" w:color="auto"/>
              <w:bottom w:val="single" w:sz="4" w:space="0" w:color="auto"/>
              <w:right w:val="single" w:sz="4" w:space="0" w:color="auto"/>
            </w:tcBorders>
          </w:tcPr>
          <w:p w:rsidR="00075922" w:rsidRPr="00086F34" w:rsidRDefault="00075922" w:rsidP="00075922">
            <w:pPr>
              <w:rPr>
                <w:rFonts w:ascii="Times New Roman" w:hAnsi="Times New Roman" w:cs="Times New Roman"/>
                <w:b/>
              </w:rPr>
            </w:pPr>
            <w:r w:rsidRPr="00DD73AE">
              <w:rPr>
                <w:rFonts w:ascii="Times New Roman" w:hAnsi="Times New Roman" w:cs="Times New Roman"/>
                <w:b/>
              </w:rPr>
              <w:t>123611,283</w:t>
            </w:r>
          </w:p>
        </w:tc>
        <w:tc>
          <w:tcPr>
            <w:tcW w:w="1134" w:type="dxa"/>
            <w:tcBorders>
              <w:top w:val="single" w:sz="8" w:space="0" w:color="auto"/>
              <w:left w:val="single" w:sz="4" w:space="0" w:color="auto"/>
              <w:bottom w:val="single" w:sz="8" w:space="0" w:color="auto"/>
              <w:right w:val="single" w:sz="4" w:space="0" w:color="auto"/>
            </w:tcBorders>
          </w:tcPr>
          <w:p w:rsidR="00075922" w:rsidRPr="00086F34" w:rsidRDefault="00075922" w:rsidP="00075922">
            <w:pPr>
              <w:rPr>
                <w:rFonts w:ascii="Times New Roman" w:hAnsi="Times New Roman" w:cs="Times New Roman"/>
                <w:b/>
              </w:rPr>
            </w:pPr>
            <w:r w:rsidRPr="00DD73AE">
              <w:rPr>
                <w:rFonts w:ascii="Times New Roman" w:hAnsi="Times New Roman" w:cs="Times New Roman"/>
                <w:b/>
              </w:rPr>
              <w:t>64197,11</w:t>
            </w:r>
          </w:p>
        </w:tc>
        <w:tc>
          <w:tcPr>
            <w:tcW w:w="992" w:type="dxa"/>
            <w:tcBorders>
              <w:top w:val="single" w:sz="8" w:space="0" w:color="auto"/>
              <w:left w:val="single" w:sz="4" w:space="0" w:color="auto"/>
              <w:bottom w:val="single" w:sz="4" w:space="0" w:color="auto"/>
              <w:right w:val="single" w:sz="4" w:space="0" w:color="auto"/>
            </w:tcBorders>
          </w:tcPr>
          <w:p w:rsidR="00075922" w:rsidRPr="00086F34" w:rsidRDefault="00075922" w:rsidP="00075922">
            <w:pPr>
              <w:rPr>
                <w:rFonts w:ascii="Times New Roman" w:hAnsi="Times New Roman" w:cs="Times New Roman"/>
                <w:b/>
              </w:rPr>
            </w:pPr>
            <w:r>
              <w:rPr>
                <w:rFonts w:ascii="Times New Roman" w:hAnsi="Times New Roman" w:cs="Times New Roman"/>
                <w:b/>
              </w:rPr>
              <w:t>0,0</w:t>
            </w:r>
          </w:p>
        </w:tc>
        <w:tc>
          <w:tcPr>
            <w:tcW w:w="1276" w:type="dxa"/>
            <w:gridSpan w:val="2"/>
            <w:tcBorders>
              <w:top w:val="single" w:sz="8" w:space="0" w:color="auto"/>
              <w:left w:val="single" w:sz="4" w:space="0" w:color="auto"/>
              <w:bottom w:val="single" w:sz="4" w:space="0" w:color="auto"/>
              <w:right w:val="single" w:sz="4" w:space="0" w:color="auto"/>
            </w:tcBorders>
          </w:tcPr>
          <w:p w:rsidR="00075922" w:rsidRPr="00086F34" w:rsidRDefault="00075922" w:rsidP="00075922">
            <w:pPr>
              <w:widowControl w:val="0"/>
              <w:autoSpaceDE w:val="0"/>
              <w:autoSpaceDN w:val="0"/>
              <w:adjustRightInd w:val="0"/>
              <w:jc w:val="center"/>
              <w:rPr>
                <w:rFonts w:ascii="Times New Roman" w:hAnsi="Times New Roman" w:cs="Times New Roman"/>
                <w:b/>
              </w:rPr>
            </w:pPr>
            <w:r w:rsidRPr="00086F34">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4.  Доля обучающихся, 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2255B0">
              <w:rPr>
                <w:rFonts w:ascii="Times New Roman" w:hAnsi="Times New Roman" w:cs="Times New Roman"/>
                <w:sz w:val="24"/>
                <w:szCs w:val="24"/>
                <w:lang w:eastAsia="ru-RU"/>
              </w:rPr>
              <w:t>6143,734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2255B0">
              <w:rPr>
                <w:rFonts w:ascii="Times New Roman" w:hAnsi="Times New Roman" w:cs="Times New Roman"/>
                <w:sz w:val="24"/>
                <w:szCs w:val="24"/>
                <w:lang w:eastAsia="ru-RU"/>
              </w:rPr>
              <w:t>4795,566</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2255B0" w:rsidRPr="00DD64DC" w:rsidTr="0032343E">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2255B0" w:rsidRPr="00DD64DC" w:rsidTr="0032343E">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Pr>
                      <w:rFonts w:ascii="Times New Roman" w:hAnsi="Times New Roman" w:cs="Times New Roman"/>
                      <w:sz w:val="24"/>
                      <w:szCs w:val="24"/>
                      <w:lang w:eastAsia="ru-RU"/>
                    </w:rPr>
                    <w:t>6143,734</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4795,566</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B2B97" w:rsidRPr="00DD64DC" w:rsidRDefault="005B703D" w:rsidP="005B703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255B0" w:rsidRPr="002255B0">
        <w:rPr>
          <w:rFonts w:ascii="Times New Roman" w:hAnsi="Times New Roman" w:cs="Times New Roman"/>
          <w:sz w:val="24"/>
          <w:szCs w:val="24"/>
          <w:lang w:eastAsia="ru-RU"/>
        </w:rPr>
        <w:t>6143,734</w:t>
      </w:r>
      <w:r w:rsidR="002255B0">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2255B0" w:rsidRPr="002255B0">
        <w:rPr>
          <w:rFonts w:ascii="Times New Roman" w:hAnsi="Times New Roman" w:cs="Times New Roman"/>
          <w:sz w:val="24"/>
          <w:szCs w:val="24"/>
          <w:lang w:eastAsia="ru-RU"/>
        </w:rPr>
        <w:t>4795,566</w:t>
      </w:r>
      <w:r w:rsidR="002255B0">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54"/>
        <w:gridCol w:w="1933"/>
        <w:gridCol w:w="1859"/>
        <w:gridCol w:w="1705"/>
      </w:tblGrid>
      <w:tr w:rsidR="007F54DC" w:rsidRPr="00DD64DC" w:rsidTr="005B703D">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F54DC" w:rsidRPr="00DD64DC" w:rsidTr="005B703D">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2255B0" w:rsidP="005B703D">
            <w:pPr>
              <w:rPr>
                <w:rFonts w:ascii="Times New Roman" w:hAnsi="Times New Roman" w:cs="Times New Roman"/>
                <w:sz w:val="24"/>
                <w:szCs w:val="24"/>
                <w:lang w:eastAsia="ru-RU"/>
              </w:rPr>
            </w:pPr>
            <w:r>
              <w:rPr>
                <w:rFonts w:ascii="Times New Roman" w:hAnsi="Times New Roman" w:cs="Times New Roman"/>
                <w:sz w:val="24"/>
                <w:szCs w:val="24"/>
                <w:lang w:eastAsia="ru-RU"/>
              </w:rPr>
              <w:t>6143,734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4795,566</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D5870" w:rsidRPr="00DD64DC" w:rsidRDefault="007F54DC"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p w:rsidR="003B2B97" w:rsidRPr="00DD64DC" w:rsidRDefault="003B2B97"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4150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170,114</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4150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170,114</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w:t>
            </w:r>
            <w:r w:rsidR="00105632" w:rsidRPr="00DD64DC">
              <w:rPr>
                <w:rFonts w:ascii="Times New Roman" w:hAnsi="Times New Roman" w:cs="Times New Roman"/>
              </w:rPr>
              <w:t>0</w:t>
            </w:r>
            <w:r w:rsidRPr="00DD64DC">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Устройство спортивной 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3D5870">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5993,486</w:t>
            </w:r>
            <w:r w:rsidRPr="00DD64DC">
              <w:rPr>
                <w:rFonts w:ascii="Times New Roman" w:hAnsi="Times New Roman" w:cs="Times New Roman"/>
              </w:rPr>
              <w:tab/>
            </w:r>
            <w:r w:rsidRPr="00DD64DC">
              <w:rPr>
                <w:rFonts w:ascii="Times New Roman" w:hAnsi="Times New Roman" w:cs="Times New Roman"/>
              </w:rPr>
              <w:tab/>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2255B0"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4795,566</w:t>
            </w:r>
            <w:r w:rsidR="003D5870" w:rsidRPr="00DD64DC">
              <w:rPr>
                <w:rFonts w:ascii="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5E037D"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A7F34" w:rsidRDefault="00EA6934" w:rsidP="00EA69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EA6934">
              <w:rPr>
                <w:rFonts w:ascii="Times New Roman" w:hAnsi="Times New Roman" w:cs="Times New Roman"/>
                <w:sz w:val="24"/>
                <w:szCs w:val="24"/>
                <w:lang w:eastAsia="ru-RU"/>
              </w:rPr>
              <w:t>37988,696</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EA693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EA693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A69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EA69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3B2B97" w:rsidRPr="00DD64D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FA7F34" w:rsidRPr="00FA7F34" w:rsidRDefault="00FA7F34" w:rsidP="00FA7F34">
      <w:pPr>
        <w:spacing w:after="0" w:line="240" w:lineRule="auto"/>
        <w:ind w:firstLine="709"/>
        <w:jc w:val="both"/>
        <w:rPr>
          <w:rFonts w:ascii="Times New Roman" w:hAnsi="Times New Roman" w:cs="Times New Roman"/>
          <w:sz w:val="24"/>
          <w:szCs w:val="24"/>
        </w:rPr>
      </w:pPr>
      <w:r w:rsidRPr="00FA7F34">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2021  года.</w:t>
      </w:r>
    </w:p>
    <w:p w:rsidR="00FA7F34" w:rsidRPr="00FA7F34" w:rsidRDefault="00FA7F34" w:rsidP="00FA7F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EA6934" w:rsidRPr="00EA6934">
        <w:rPr>
          <w:rFonts w:ascii="Times New Roman" w:hAnsi="Times New Roman" w:cs="Times New Roman"/>
          <w:sz w:val="24"/>
          <w:szCs w:val="24"/>
          <w:lang w:eastAsia="ru-RU"/>
        </w:rPr>
        <w:t>37988,696</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00EA6934" w:rsidRPr="00EA6934">
        <w:rPr>
          <w:rFonts w:ascii="Times New Roman" w:hAnsi="Times New Roman" w:cs="Times New Roman"/>
          <w:sz w:val="24"/>
          <w:szCs w:val="24"/>
          <w:lang w:eastAsia="ru-RU"/>
        </w:rPr>
        <w:t>698,9</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00EA6934" w:rsidRPr="00EA6934">
        <w:rPr>
          <w:rFonts w:ascii="Times New Roman" w:hAnsi="Times New Roman" w:cs="Times New Roman"/>
          <w:sz w:val="24"/>
          <w:szCs w:val="24"/>
          <w:lang w:eastAsia="ru-RU"/>
        </w:rPr>
        <w:t>832,1</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FA7F34" w:rsidRPr="00FA7F34" w:rsidRDefault="00FA7F34" w:rsidP="00FA7F34">
      <w:pPr>
        <w:tabs>
          <w:tab w:val="left" w:pos="1276"/>
        </w:tabs>
        <w:spacing w:after="0" w:line="240" w:lineRule="auto"/>
        <w:ind w:right="624" w:firstLine="709"/>
        <w:jc w:val="center"/>
        <w:rPr>
          <w:rFonts w:ascii="Times New Roman" w:hAnsi="Times New Roman" w:cs="Times New Roman"/>
          <w:sz w:val="24"/>
          <w:szCs w:val="24"/>
          <w:lang w:eastAsia="ru-RU"/>
        </w:rPr>
      </w:pPr>
    </w:p>
    <w:p w:rsidR="00FA7F34" w:rsidRPr="00FA7F34" w:rsidRDefault="00FA7F34" w:rsidP="00FA7F34">
      <w:pPr>
        <w:tabs>
          <w:tab w:val="left" w:pos="1276"/>
        </w:tabs>
        <w:spacing w:after="0" w:line="240" w:lineRule="auto"/>
        <w:ind w:right="624" w:firstLine="709"/>
        <w:jc w:val="center"/>
        <w:rPr>
          <w:rFonts w:ascii="Times New Roman" w:hAnsi="Times New Roman" w:cs="Times New Roman"/>
          <w:b/>
          <w:bCs/>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FA7F34" w:rsidRDefault="00FA7F34"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ПОДПРОГРАММЫ</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DD64DC" w:rsidTr="00EA6934">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EA6934" w:rsidRPr="00DD64DC" w:rsidTr="00EA693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100% </w:t>
            </w: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DD64DC" w:rsidTr="00EA693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36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59"/>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3"/>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0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1"/>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53"/>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5.9</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5.10</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A6934" w:rsidRPr="00DD64DC" w:rsidTr="00EA6934">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b/>
                <w:lang w:eastAsia="ru-RU"/>
              </w:rPr>
            </w:pPr>
            <w:r w:rsidRPr="00DD64DC">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37988,696</w:t>
            </w:r>
          </w:p>
        </w:tc>
        <w:tc>
          <w:tcPr>
            <w:tcW w:w="837"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EA6934" w:rsidRPr="00015E11" w:rsidRDefault="00EA6934" w:rsidP="00EA6934">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EA6934" w:rsidRPr="00F86335" w:rsidRDefault="00EA6934" w:rsidP="00EA6934">
            <w:pPr>
              <w:widowControl w:val="0"/>
              <w:autoSpaceDE w:val="0"/>
              <w:autoSpaceDN w:val="0"/>
              <w:adjustRightInd w:val="0"/>
              <w:spacing w:after="0" w:line="240" w:lineRule="auto"/>
              <w:rPr>
                <w:rFonts w:ascii="Times New Roman" w:hAnsi="Times New Roman" w:cs="Times New Roman"/>
                <w:b/>
                <w:lang w:eastAsia="ru-RU"/>
              </w:rPr>
            </w:pPr>
            <w:r>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jc w:val="center"/>
        <w:rPr>
          <w:sz w:val="20"/>
          <w:szCs w:val="20"/>
        </w:rPr>
      </w:pPr>
    </w:p>
    <w:p w:rsidR="006E10DE" w:rsidRDefault="006E10DE" w:rsidP="009C008D">
      <w:pPr>
        <w:pStyle w:val="consplusnonformat"/>
        <w:jc w:val="center"/>
        <w:rPr>
          <w:sz w:val="20"/>
          <w:szCs w:val="20"/>
        </w:rPr>
      </w:pPr>
    </w:p>
    <w:p w:rsidR="00FA7F34" w:rsidRPr="00DD64DC" w:rsidRDefault="00FA7F34" w:rsidP="009C008D">
      <w:pPr>
        <w:pStyle w:val="consplusnonformat"/>
        <w:jc w:val="center"/>
        <w:rPr>
          <w:sz w:val="20"/>
          <w:szCs w:val="20"/>
        </w:rPr>
      </w:pPr>
    </w:p>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429" w:rsidRDefault="00A14429" w:rsidP="00330C92">
      <w:pPr>
        <w:spacing w:after="0" w:line="240" w:lineRule="auto"/>
      </w:pPr>
      <w:r>
        <w:separator/>
      </w:r>
    </w:p>
  </w:endnote>
  <w:endnote w:type="continuationSeparator" w:id="0">
    <w:p w:rsidR="00A14429" w:rsidRDefault="00A14429"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429" w:rsidRDefault="00A14429" w:rsidP="00330C92">
      <w:pPr>
        <w:spacing w:after="0" w:line="240" w:lineRule="auto"/>
      </w:pPr>
      <w:r>
        <w:separator/>
      </w:r>
    </w:p>
  </w:footnote>
  <w:footnote w:type="continuationSeparator" w:id="0">
    <w:p w:rsidR="00A14429" w:rsidRDefault="00A14429"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Content>
      <w:p w:rsidR="00A14429" w:rsidRDefault="00A14429">
        <w:pPr>
          <w:pStyle w:val="a8"/>
          <w:jc w:val="right"/>
        </w:pPr>
        <w:r>
          <w:fldChar w:fldCharType="begin"/>
        </w:r>
        <w:r>
          <w:instrText xml:space="preserve"> PAGE   \* MERGEFORMAT </w:instrText>
        </w:r>
        <w:r>
          <w:fldChar w:fldCharType="separate"/>
        </w:r>
        <w:r w:rsidR="00075922">
          <w:rPr>
            <w:noProof/>
          </w:rPr>
          <w:t>12</w:t>
        </w:r>
        <w:r>
          <w:rPr>
            <w:noProof/>
          </w:rPr>
          <w:fldChar w:fldCharType="end"/>
        </w:r>
      </w:p>
    </w:sdtContent>
  </w:sdt>
  <w:p w:rsidR="00A14429" w:rsidRDefault="00A14429">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020319"/>
      <w:docPartObj>
        <w:docPartGallery w:val="Page Numbers (Top of Page)"/>
        <w:docPartUnique/>
      </w:docPartObj>
    </w:sdtPr>
    <w:sdtContent>
      <w:p w:rsidR="00A14429" w:rsidRDefault="00A14429">
        <w:pPr>
          <w:pStyle w:val="a8"/>
          <w:jc w:val="right"/>
        </w:pPr>
        <w:r>
          <w:fldChar w:fldCharType="begin"/>
        </w:r>
        <w:r>
          <w:instrText xml:space="preserve"> PAGE   \* MERGEFORMAT </w:instrText>
        </w:r>
        <w:r>
          <w:fldChar w:fldCharType="separate"/>
        </w:r>
        <w:r w:rsidR="00075922">
          <w:rPr>
            <w:noProof/>
          </w:rPr>
          <w:t>42</w:t>
        </w:r>
        <w:r>
          <w:rPr>
            <w:noProof/>
          </w:rPr>
          <w:fldChar w:fldCharType="end"/>
        </w:r>
      </w:p>
    </w:sdtContent>
  </w:sdt>
  <w:p w:rsidR="00A14429" w:rsidRDefault="00A14429">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Content>
      <w:p w:rsidR="00A14429" w:rsidRDefault="00A14429">
        <w:pPr>
          <w:pStyle w:val="a8"/>
          <w:jc w:val="right"/>
        </w:pPr>
        <w:r>
          <w:fldChar w:fldCharType="begin"/>
        </w:r>
        <w:r>
          <w:instrText xml:space="preserve"> PAGE   \* MERGEFORMAT </w:instrText>
        </w:r>
        <w:r>
          <w:fldChar w:fldCharType="separate"/>
        </w:r>
        <w:r w:rsidR="00075922">
          <w:rPr>
            <w:noProof/>
          </w:rPr>
          <w:t>76</w:t>
        </w:r>
        <w:r>
          <w:rPr>
            <w:noProof/>
          </w:rPr>
          <w:fldChar w:fldCharType="end"/>
        </w:r>
      </w:p>
    </w:sdtContent>
  </w:sdt>
  <w:p w:rsidR="00A14429" w:rsidRDefault="00A1442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63B94"/>
    <w:rsid w:val="00064DCF"/>
    <w:rsid w:val="00070143"/>
    <w:rsid w:val="000708AD"/>
    <w:rsid w:val="00075922"/>
    <w:rsid w:val="00086F34"/>
    <w:rsid w:val="000901CC"/>
    <w:rsid w:val="000B3DE1"/>
    <w:rsid w:val="000B5CD7"/>
    <w:rsid w:val="000C68EC"/>
    <w:rsid w:val="00105632"/>
    <w:rsid w:val="001166F5"/>
    <w:rsid w:val="00116727"/>
    <w:rsid w:val="00130F21"/>
    <w:rsid w:val="00133504"/>
    <w:rsid w:val="00134699"/>
    <w:rsid w:val="00153DCF"/>
    <w:rsid w:val="00163911"/>
    <w:rsid w:val="00163CD3"/>
    <w:rsid w:val="00183B8C"/>
    <w:rsid w:val="001A364C"/>
    <w:rsid w:val="001B712C"/>
    <w:rsid w:val="001D20EA"/>
    <w:rsid w:val="001E5088"/>
    <w:rsid w:val="001E589D"/>
    <w:rsid w:val="002066EA"/>
    <w:rsid w:val="002174D4"/>
    <w:rsid w:val="002228E1"/>
    <w:rsid w:val="002255B0"/>
    <w:rsid w:val="0023645F"/>
    <w:rsid w:val="002474D1"/>
    <w:rsid w:val="00247C19"/>
    <w:rsid w:val="00256780"/>
    <w:rsid w:val="00266580"/>
    <w:rsid w:val="00275831"/>
    <w:rsid w:val="00293424"/>
    <w:rsid w:val="00297EC8"/>
    <w:rsid w:val="002A3667"/>
    <w:rsid w:val="002A3D93"/>
    <w:rsid w:val="002A6BA3"/>
    <w:rsid w:val="002B748C"/>
    <w:rsid w:val="002D0ED9"/>
    <w:rsid w:val="002D1C7B"/>
    <w:rsid w:val="002D1F90"/>
    <w:rsid w:val="002E103D"/>
    <w:rsid w:val="002E6E21"/>
    <w:rsid w:val="002F0682"/>
    <w:rsid w:val="002F70AB"/>
    <w:rsid w:val="00303D59"/>
    <w:rsid w:val="0032343E"/>
    <w:rsid w:val="00326241"/>
    <w:rsid w:val="00330C92"/>
    <w:rsid w:val="0035191E"/>
    <w:rsid w:val="0039387A"/>
    <w:rsid w:val="00397116"/>
    <w:rsid w:val="003A1AF9"/>
    <w:rsid w:val="003A55A0"/>
    <w:rsid w:val="003A59AE"/>
    <w:rsid w:val="003B2B97"/>
    <w:rsid w:val="003B6976"/>
    <w:rsid w:val="003C2D02"/>
    <w:rsid w:val="003C721B"/>
    <w:rsid w:val="003D5870"/>
    <w:rsid w:val="003D5BB0"/>
    <w:rsid w:val="003D791E"/>
    <w:rsid w:val="003F4884"/>
    <w:rsid w:val="003F5F49"/>
    <w:rsid w:val="003F758A"/>
    <w:rsid w:val="00424426"/>
    <w:rsid w:val="00433590"/>
    <w:rsid w:val="00433D51"/>
    <w:rsid w:val="004346AB"/>
    <w:rsid w:val="00435E91"/>
    <w:rsid w:val="00444B75"/>
    <w:rsid w:val="004533C0"/>
    <w:rsid w:val="004855D5"/>
    <w:rsid w:val="004A2B35"/>
    <w:rsid w:val="004B30BC"/>
    <w:rsid w:val="004C3AF6"/>
    <w:rsid w:val="004E370A"/>
    <w:rsid w:val="00522AA8"/>
    <w:rsid w:val="00526ADC"/>
    <w:rsid w:val="005536AC"/>
    <w:rsid w:val="005617A9"/>
    <w:rsid w:val="005934A6"/>
    <w:rsid w:val="005A0AD2"/>
    <w:rsid w:val="005A4DF5"/>
    <w:rsid w:val="005A781A"/>
    <w:rsid w:val="005B703D"/>
    <w:rsid w:val="005B7439"/>
    <w:rsid w:val="005C122E"/>
    <w:rsid w:val="005C4B93"/>
    <w:rsid w:val="005D77AE"/>
    <w:rsid w:val="005E037D"/>
    <w:rsid w:val="005F1819"/>
    <w:rsid w:val="006009C6"/>
    <w:rsid w:val="00620DC7"/>
    <w:rsid w:val="00626ECA"/>
    <w:rsid w:val="00656B1A"/>
    <w:rsid w:val="00691552"/>
    <w:rsid w:val="006C4083"/>
    <w:rsid w:val="006D3126"/>
    <w:rsid w:val="006E10DE"/>
    <w:rsid w:val="006E5582"/>
    <w:rsid w:val="006E6350"/>
    <w:rsid w:val="006F012F"/>
    <w:rsid w:val="006F3EA3"/>
    <w:rsid w:val="006F5732"/>
    <w:rsid w:val="00724305"/>
    <w:rsid w:val="00733430"/>
    <w:rsid w:val="0074344C"/>
    <w:rsid w:val="00747285"/>
    <w:rsid w:val="00752B96"/>
    <w:rsid w:val="00756A5A"/>
    <w:rsid w:val="00762E59"/>
    <w:rsid w:val="0077102B"/>
    <w:rsid w:val="007752D3"/>
    <w:rsid w:val="007848DA"/>
    <w:rsid w:val="00785589"/>
    <w:rsid w:val="0078616F"/>
    <w:rsid w:val="00787275"/>
    <w:rsid w:val="00793836"/>
    <w:rsid w:val="007B6D96"/>
    <w:rsid w:val="007D2DB8"/>
    <w:rsid w:val="007D302A"/>
    <w:rsid w:val="007D427E"/>
    <w:rsid w:val="007D71D1"/>
    <w:rsid w:val="007E7D36"/>
    <w:rsid w:val="007F54DC"/>
    <w:rsid w:val="00807396"/>
    <w:rsid w:val="00811691"/>
    <w:rsid w:val="00823C38"/>
    <w:rsid w:val="0083061A"/>
    <w:rsid w:val="00840C91"/>
    <w:rsid w:val="0084409D"/>
    <w:rsid w:val="008444FF"/>
    <w:rsid w:val="00845CB9"/>
    <w:rsid w:val="008511B3"/>
    <w:rsid w:val="00857274"/>
    <w:rsid w:val="00857809"/>
    <w:rsid w:val="0087219A"/>
    <w:rsid w:val="0087372B"/>
    <w:rsid w:val="00882079"/>
    <w:rsid w:val="00886906"/>
    <w:rsid w:val="008A56B5"/>
    <w:rsid w:val="008A5A9A"/>
    <w:rsid w:val="008D34AB"/>
    <w:rsid w:val="008F06DC"/>
    <w:rsid w:val="008F123D"/>
    <w:rsid w:val="008F7476"/>
    <w:rsid w:val="009027C8"/>
    <w:rsid w:val="0090364E"/>
    <w:rsid w:val="00904510"/>
    <w:rsid w:val="00922869"/>
    <w:rsid w:val="009249C0"/>
    <w:rsid w:val="00960C08"/>
    <w:rsid w:val="009730B7"/>
    <w:rsid w:val="009A4F99"/>
    <w:rsid w:val="009A75FE"/>
    <w:rsid w:val="009C008D"/>
    <w:rsid w:val="009C6AF8"/>
    <w:rsid w:val="009D3544"/>
    <w:rsid w:val="009D6659"/>
    <w:rsid w:val="00A132FD"/>
    <w:rsid w:val="00A14429"/>
    <w:rsid w:val="00A14725"/>
    <w:rsid w:val="00A223A4"/>
    <w:rsid w:val="00A24171"/>
    <w:rsid w:val="00A332FD"/>
    <w:rsid w:val="00A74B2E"/>
    <w:rsid w:val="00A849E6"/>
    <w:rsid w:val="00AB4FEF"/>
    <w:rsid w:val="00AB784C"/>
    <w:rsid w:val="00AC630F"/>
    <w:rsid w:val="00AF7FFE"/>
    <w:rsid w:val="00B00489"/>
    <w:rsid w:val="00B2258F"/>
    <w:rsid w:val="00B26815"/>
    <w:rsid w:val="00B31571"/>
    <w:rsid w:val="00B4150D"/>
    <w:rsid w:val="00B611FC"/>
    <w:rsid w:val="00B65A4D"/>
    <w:rsid w:val="00B668ED"/>
    <w:rsid w:val="00B70B4C"/>
    <w:rsid w:val="00B84727"/>
    <w:rsid w:val="00B854CC"/>
    <w:rsid w:val="00B9222F"/>
    <w:rsid w:val="00BA4009"/>
    <w:rsid w:val="00BB473E"/>
    <w:rsid w:val="00BB6884"/>
    <w:rsid w:val="00BC169C"/>
    <w:rsid w:val="00BD4A3B"/>
    <w:rsid w:val="00BE26CA"/>
    <w:rsid w:val="00BE6099"/>
    <w:rsid w:val="00C05489"/>
    <w:rsid w:val="00C0735B"/>
    <w:rsid w:val="00C17E89"/>
    <w:rsid w:val="00C349C0"/>
    <w:rsid w:val="00C571BC"/>
    <w:rsid w:val="00C662F7"/>
    <w:rsid w:val="00C6681C"/>
    <w:rsid w:val="00C677A5"/>
    <w:rsid w:val="00C86CCE"/>
    <w:rsid w:val="00C92DEA"/>
    <w:rsid w:val="00CA0341"/>
    <w:rsid w:val="00CA1B25"/>
    <w:rsid w:val="00CA3277"/>
    <w:rsid w:val="00CD4DC6"/>
    <w:rsid w:val="00CF311F"/>
    <w:rsid w:val="00CF7E98"/>
    <w:rsid w:val="00D05875"/>
    <w:rsid w:val="00D127D9"/>
    <w:rsid w:val="00D20826"/>
    <w:rsid w:val="00D464B9"/>
    <w:rsid w:val="00D61080"/>
    <w:rsid w:val="00D6150E"/>
    <w:rsid w:val="00D6277E"/>
    <w:rsid w:val="00D639A2"/>
    <w:rsid w:val="00D65514"/>
    <w:rsid w:val="00D73290"/>
    <w:rsid w:val="00D75EA0"/>
    <w:rsid w:val="00D82996"/>
    <w:rsid w:val="00D8668C"/>
    <w:rsid w:val="00D96419"/>
    <w:rsid w:val="00D96ABD"/>
    <w:rsid w:val="00D96F15"/>
    <w:rsid w:val="00DD64DC"/>
    <w:rsid w:val="00DD73AE"/>
    <w:rsid w:val="00DF0C0B"/>
    <w:rsid w:val="00E1414A"/>
    <w:rsid w:val="00E40E73"/>
    <w:rsid w:val="00E548F9"/>
    <w:rsid w:val="00E554EA"/>
    <w:rsid w:val="00E577E3"/>
    <w:rsid w:val="00E7299D"/>
    <w:rsid w:val="00E75015"/>
    <w:rsid w:val="00E86A46"/>
    <w:rsid w:val="00E95684"/>
    <w:rsid w:val="00E96891"/>
    <w:rsid w:val="00EA0AF8"/>
    <w:rsid w:val="00EA6934"/>
    <w:rsid w:val="00EA702A"/>
    <w:rsid w:val="00EC66E4"/>
    <w:rsid w:val="00EE4BD8"/>
    <w:rsid w:val="00EE4E49"/>
    <w:rsid w:val="00F0503F"/>
    <w:rsid w:val="00F063C3"/>
    <w:rsid w:val="00F06B35"/>
    <w:rsid w:val="00F110B6"/>
    <w:rsid w:val="00F16478"/>
    <w:rsid w:val="00F172D3"/>
    <w:rsid w:val="00F222CE"/>
    <w:rsid w:val="00F33829"/>
    <w:rsid w:val="00F44F77"/>
    <w:rsid w:val="00F53F5A"/>
    <w:rsid w:val="00F56A54"/>
    <w:rsid w:val="00F64093"/>
    <w:rsid w:val="00F71CCD"/>
    <w:rsid w:val="00F87ADB"/>
    <w:rsid w:val="00F9455D"/>
    <w:rsid w:val="00F949F5"/>
    <w:rsid w:val="00FA7F34"/>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E2C19"/>
  <w15:docId w15:val="{05EB3870-9BE2-4DA7-AB55-2708CA31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B4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85213184"/>
        <c:axId val="85214720"/>
      </c:barChart>
      <c:catAx>
        <c:axId val="852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4720"/>
        <c:crosses val="autoZero"/>
        <c:auto val="1"/>
        <c:lblAlgn val="ctr"/>
        <c:lblOffset val="100"/>
        <c:noMultiLvlLbl val="0"/>
      </c:catAx>
      <c:valAx>
        <c:axId val="8521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3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85378176"/>
        <c:axId val="85379712"/>
      </c:barChart>
      <c:catAx>
        <c:axId val="85378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9712"/>
        <c:crosses val="autoZero"/>
        <c:auto val="1"/>
        <c:lblAlgn val="ctr"/>
        <c:lblOffset val="100"/>
        <c:noMultiLvlLbl val="0"/>
      </c:catAx>
      <c:valAx>
        <c:axId val="8537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81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DF570-80D1-4D57-8FAB-AC3E8C6A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6415</TotalTime>
  <Pages>76</Pages>
  <Words>20403</Words>
  <Characters>116299</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Малыщенко</cp:lastModifiedBy>
  <cp:revision>23</cp:revision>
  <cp:lastPrinted>2021-05-31T05:48:00Z</cp:lastPrinted>
  <dcterms:created xsi:type="dcterms:W3CDTF">2020-03-23T05:09:00Z</dcterms:created>
  <dcterms:modified xsi:type="dcterms:W3CDTF">2021-09-02T10:33:00Z</dcterms:modified>
</cp:coreProperties>
</file>